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D6" w:rsidRPr="00A702F9" w:rsidRDefault="00A702F9" w:rsidP="005C2C45">
      <w:pPr>
        <w:jc w:val="center"/>
        <w:rPr>
          <w:b/>
          <w:sz w:val="32"/>
          <w:szCs w:val="32"/>
          <w:lang w:val="lt-LT"/>
        </w:rPr>
      </w:pPr>
      <w:bookmarkStart w:id="0" w:name="_GoBack"/>
      <w:bookmarkEnd w:id="0"/>
      <w:r w:rsidRPr="00A702F9">
        <w:rPr>
          <w:b/>
          <w:sz w:val="32"/>
          <w:szCs w:val="32"/>
          <w:lang w:val="lt-LT"/>
        </w:rPr>
        <w:t xml:space="preserve">PROJEKTO </w:t>
      </w:r>
      <w:r w:rsidR="005C2C45" w:rsidRPr="00A702F9">
        <w:rPr>
          <w:b/>
          <w:sz w:val="32"/>
          <w:szCs w:val="32"/>
          <w:lang w:val="lt-LT"/>
        </w:rPr>
        <w:t>IŠLAIDAS PAGRINDŽIANČIŲ DOKUMENTŲ SĄRAŠAS*</w:t>
      </w:r>
    </w:p>
    <w:p w:rsidR="005C2C45" w:rsidRDefault="005C2C45" w:rsidP="005C2C45">
      <w:pPr>
        <w:jc w:val="center"/>
        <w:rPr>
          <w:b/>
          <w:lang w:val="lt-LT"/>
        </w:rPr>
      </w:pPr>
    </w:p>
    <w:tbl>
      <w:tblPr>
        <w:tblW w:w="98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2943"/>
        <w:gridCol w:w="6911"/>
      </w:tblGrid>
      <w:tr w:rsidR="005C2C45" w:rsidRPr="007E0563" w:rsidTr="00991622">
        <w:trPr>
          <w:tblHeader/>
        </w:trPr>
        <w:tc>
          <w:tcPr>
            <w:tcW w:w="2943" w:type="dxa"/>
            <w:shd w:val="clear" w:color="auto" w:fill="auto"/>
          </w:tcPr>
          <w:p w:rsidR="005C2C45" w:rsidRPr="007E0563" w:rsidRDefault="005C2C45" w:rsidP="00991622">
            <w:pPr>
              <w:keepNext/>
              <w:rPr>
                <w:rFonts w:eastAsia="Calibri"/>
                <w:b/>
                <w:bCs/>
                <w:lang w:val="lt-LT" w:eastAsia="lt-LT"/>
              </w:rPr>
            </w:pPr>
            <w:r w:rsidRPr="007E0563">
              <w:rPr>
                <w:rFonts w:eastAsia="Calibri"/>
                <w:b/>
                <w:bCs/>
                <w:lang w:val="lt-LT" w:eastAsia="lt-LT"/>
              </w:rPr>
              <w:t>Tinkamų finansuoti išlaidų tipas</w:t>
            </w:r>
          </w:p>
        </w:tc>
        <w:tc>
          <w:tcPr>
            <w:tcW w:w="6911" w:type="dxa"/>
            <w:shd w:val="clear" w:color="auto" w:fill="auto"/>
          </w:tcPr>
          <w:p w:rsidR="005C2C45" w:rsidRPr="007E0563" w:rsidRDefault="005C2C45" w:rsidP="00991622">
            <w:pPr>
              <w:keepNext/>
              <w:jc w:val="both"/>
              <w:rPr>
                <w:rFonts w:eastAsia="Calibri"/>
                <w:b/>
                <w:bCs/>
                <w:lang w:val="lt-LT" w:eastAsia="lt-LT"/>
              </w:rPr>
            </w:pPr>
            <w:r w:rsidRPr="007E0563">
              <w:rPr>
                <w:rFonts w:eastAsia="Calibri"/>
                <w:b/>
                <w:bCs/>
                <w:lang w:val="lt-LT" w:eastAsia="lt-LT"/>
              </w:rPr>
              <w:t>Rekomenduojami išlaidų pagrindimo dokumentai</w:t>
            </w:r>
          </w:p>
        </w:tc>
      </w:tr>
      <w:tr w:rsidR="005C2C45" w:rsidRPr="00745A8B" w:rsidTr="00991622">
        <w:tc>
          <w:tcPr>
            <w:tcW w:w="2943" w:type="dxa"/>
            <w:shd w:val="clear" w:color="auto" w:fill="auto"/>
          </w:tcPr>
          <w:p w:rsidR="005C2C45" w:rsidRPr="007E0563" w:rsidRDefault="005C2C45" w:rsidP="00991622">
            <w:pPr>
              <w:jc w:val="both"/>
              <w:rPr>
                <w:rFonts w:eastAsia="Calibri"/>
                <w:b/>
                <w:bCs/>
                <w:lang w:val="lt-LT" w:eastAsia="lt-LT"/>
              </w:rPr>
            </w:pPr>
            <w:r w:rsidRPr="007E0563">
              <w:rPr>
                <w:rFonts w:eastAsia="Calibri"/>
                <w:b/>
                <w:bCs/>
                <w:lang w:val="lt-LT" w:eastAsia="lt-LT"/>
              </w:rPr>
              <w:t>Darbai</w:t>
            </w:r>
          </w:p>
        </w:tc>
        <w:tc>
          <w:tcPr>
            <w:tcW w:w="6911" w:type="dxa"/>
            <w:shd w:val="clear" w:color="auto" w:fill="auto"/>
          </w:tcPr>
          <w:p w:rsidR="005C2C45" w:rsidRPr="00691F4F" w:rsidRDefault="005C2C45" w:rsidP="00991622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</w:tabs>
              <w:ind w:left="47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Pirkimo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pirkimo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procedūrų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dokumentai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2C45" w:rsidRPr="00691F4F" w:rsidRDefault="005C2C45" w:rsidP="00991622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</w:tabs>
              <w:ind w:left="47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sutartys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su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rangovais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2C45" w:rsidRPr="00691F4F" w:rsidRDefault="005C2C45" w:rsidP="00991622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</w:tabs>
              <w:ind w:left="47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rangos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darbų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prekių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perdavimo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priėmimo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aktai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2C45" w:rsidRPr="00691F4F" w:rsidRDefault="005C2C45" w:rsidP="00991622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</w:tabs>
              <w:ind w:left="47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techninės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priežiūros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ataskaitos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2C45" w:rsidRPr="00691F4F" w:rsidRDefault="005C2C45" w:rsidP="00991622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</w:tabs>
              <w:ind w:left="47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statybos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užbaigimo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aktas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jeigu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reikalaujama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LR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teisės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aktuose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nustatyta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tvarka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deklaracija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apie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statybos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užbaigimą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2C45" w:rsidRPr="00691F4F" w:rsidRDefault="005C2C45" w:rsidP="00991622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</w:tabs>
              <w:ind w:left="47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pastato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kito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statinio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teisinės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registracijos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pažyma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2C45" w:rsidRPr="00691F4F" w:rsidRDefault="005C2C45" w:rsidP="00991622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</w:tabs>
              <w:ind w:left="47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sukurto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turto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draudimo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dokumentai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jei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taikoma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2C45" w:rsidRPr="00691F4F" w:rsidRDefault="005C2C45" w:rsidP="00991622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</w:tabs>
              <w:ind w:left="47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sąskaitos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faktūros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lygiaverčiai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įrodomieji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dokumentai</w:t>
            </w:r>
            <w:proofErr w:type="spellEnd"/>
          </w:p>
          <w:p w:rsidR="005C2C45" w:rsidRPr="005C2C45" w:rsidRDefault="005C2C45" w:rsidP="00991622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</w:tabs>
              <w:ind w:left="470" w:hanging="357"/>
              <w:jc w:val="both"/>
              <w:rPr>
                <w:rFonts w:eastAsia="Calibri"/>
                <w:b/>
                <w:color w:val="FF0000"/>
                <w:lang w:val="lt-LT" w:eastAsia="lt-LT"/>
              </w:rPr>
            </w:pPr>
            <w:proofErr w:type="spellStart"/>
            <w:r w:rsidRPr="005C2C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Specialios</w:t>
            </w:r>
            <w:proofErr w:type="spellEnd"/>
            <w:r w:rsidRPr="005C2C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C2C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tranzito</w:t>
            </w:r>
            <w:proofErr w:type="spellEnd"/>
            <w:r w:rsidRPr="005C2C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C2C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schemos</w:t>
            </w:r>
            <w:proofErr w:type="spellEnd"/>
            <w:r w:rsidRPr="005C2C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C2C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veiklų</w:t>
            </w:r>
            <w:proofErr w:type="spellEnd"/>
            <w:r w:rsidRPr="005C2C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C2C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priskyrimą</w:t>
            </w:r>
            <w:proofErr w:type="spellEnd"/>
            <w:r w:rsidRPr="005C2C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C2C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pagrindžiantys</w:t>
            </w:r>
            <w:proofErr w:type="spellEnd"/>
            <w:r w:rsidRPr="005C2C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C2C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dokumentai</w:t>
            </w:r>
            <w:proofErr w:type="spellEnd"/>
            <w:r w:rsidRPr="005C2C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proofErr w:type="spellStart"/>
            <w:r w:rsidRPr="005C2C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taikoma</w:t>
            </w:r>
            <w:proofErr w:type="spellEnd"/>
            <w:r w:rsidRPr="005C2C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C2C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projektams</w:t>
            </w:r>
            <w:proofErr w:type="spellEnd"/>
            <w:r w:rsidRPr="005C2C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5C2C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finansuojamiems</w:t>
            </w:r>
            <w:proofErr w:type="spellEnd"/>
            <w:r w:rsidRPr="005C2C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STS </w:t>
            </w:r>
            <w:proofErr w:type="spellStart"/>
            <w:r w:rsidRPr="005C2C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lėšomis</w:t>
            </w:r>
            <w:proofErr w:type="spellEnd"/>
            <w:r w:rsidRPr="005C2C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:</w:t>
            </w:r>
          </w:p>
          <w:p w:rsidR="005C2C45" w:rsidRPr="005C2C45" w:rsidRDefault="005C2C45" w:rsidP="005C2C45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</w:tabs>
              <w:jc w:val="both"/>
              <w:rPr>
                <w:rFonts w:eastAsia="Calibri"/>
                <w:b/>
                <w:lang w:val="lt-LT" w:eastAsia="lt-LT"/>
              </w:rPr>
            </w:pPr>
            <w:r w:rsidRPr="005C2C45">
              <w:rPr>
                <w:rFonts w:eastAsia="Calibri"/>
                <w:b/>
                <w:lang w:val="lt-LT" w:eastAsia="lt-LT"/>
              </w:rPr>
              <w:t>Metodikos, kurios pagrįstų funkcijų priskyrimą STS veiklai;</w:t>
            </w:r>
          </w:p>
          <w:p w:rsidR="005C2C45" w:rsidRPr="005C2C45" w:rsidRDefault="005C2C45" w:rsidP="005C2C45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</w:tabs>
              <w:jc w:val="both"/>
              <w:rPr>
                <w:rFonts w:eastAsia="Calibri"/>
                <w:b/>
                <w:lang w:val="lt-LT" w:eastAsia="lt-LT"/>
              </w:rPr>
            </w:pPr>
            <w:r w:rsidRPr="005C2C45">
              <w:rPr>
                <w:rFonts w:eastAsia="Calibri"/>
                <w:b/>
                <w:lang w:val="lt-LT" w:eastAsia="lt-LT"/>
              </w:rPr>
              <w:t>Įstaigos tvarka, kurioje aprašytas vykdomų STS funkcijų detalus aprašymas ir skaičiavimai, kurie pagrįstų projekto rezultato panaudojimą STS veiklai prašomu finansuoti atitinkamu procentu;</w:t>
            </w:r>
          </w:p>
          <w:p w:rsidR="005C2C45" w:rsidRPr="005C2C45" w:rsidRDefault="005C2C45" w:rsidP="005C2C45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</w:tabs>
              <w:jc w:val="both"/>
              <w:rPr>
                <w:rFonts w:eastAsia="Calibri"/>
                <w:b/>
                <w:lang w:val="lt-LT" w:eastAsia="lt-LT"/>
              </w:rPr>
            </w:pPr>
            <w:r w:rsidRPr="005C2C45">
              <w:rPr>
                <w:rFonts w:eastAsia="Calibri"/>
                <w:b/>
                <w:lang w:val="lt-LT" w:eastAsia="lt-LT"/>
              </w:rPr>
              <w:t>Įsakymas/Nurodymas dėl konkrečių prekių priskyrimo/naudojimo STS veiklai;</w:t>
            </w:r>
          </w:p>
          <w:p w:rsidR="005C2C45" w:rsidRPr="005C2C45" w:rsidRDefault="005C2C45" w:rsidP="005C2C45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</w:tabs>
              <w:jc w:val="both"/>
              <w:rPr>
                <w:rFonts w:eastAsia="Calibri"/>
                <w:b/>
                <w:lang w:val="lt-LT" w:eastAsia="lt-LT"/>
              </w:rPr>
            </w:pPr>
            <w:r w:rsidRPr="005C2C45">
              <w:rPr>
                <w:rFonts w:eastAsia="Calibri"/>
                <w:b/>
                <w:lang w:val="lt-LT" w:eastAsia="lt-LT"/>
              </w:rPr>
              <w:t>Patalpų/prekių priskyrimas STS veiklai su nurodytais skaičiavimais;</w:t>
            </w:r>
          </w:p>
          <w:p w:rsidR="005C2C45" w:rsidRPr="005C2C45" w:rsidRDefault="005C2C45" w:rsidP="005C2C45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</w:tabs>
              <w:jc w:val="both"/>
              <w:rPr>
                <w:rFonts w:eastAsia="Calibri"/>
                <w:b/>
                <w:lang w:val="lt-LT" w:eastAsia="lt-LT"/>
              </w:rPr>
            </w:pPr>
            <w:r w:rsidRPr="005C2C45">
              <w:rPr>
                <w:rFonts w:eastAsia="Calibri"/>
                <w:b/>
                <w:lang w:val="lt-LT" w:eastAsia="lt-LT"/>
              </w:rPr>
              <w:t>Darbo užmokesčio tabeliai/</w:t>
            </w:r>
            <w:proofErr w:type="spellStart"/>
            <w:r w:rsidRPr="005C2C45">
              <w:rPr>
                <w:rFonts w:eastAsia="Calibri"/>
                <w:b/>
                <w:lang w:val="lt-LT" w:eastAsia="lt-LT"/>
              </w:rPr>
              <w:t>laikaraščiai</w:t>
            </w:r>
            <w:proofErr w:type="spellEnd"/>
            <w:r w:rsidRPr="005C2C45">
              <w:rPr>
                <w:rFonts w:eastAsia="Calibri"/>
                <w:b/>
                <w:lang w:val="lt-LT" w:eastAsia="lt-LT"/>
              </w:rPr>
              <w:t>, kuriose aiškiai matomos STS vykdytos funkcijos ir funkcijoms vykdyti skirtas laikas;</w:t>
            </w:r>
          </w:p>
          <w:p w:rsidR="005C2C45" w:rsidRPr="005C2C45" w:rsidRDefault="005C2C45" w:rsidP="005C2C45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</w:tabs>
              <w:jc w:val="both"/>
              <w:rPr>
                <w:rFonts w:eastAsia="Calibri"/>
                <w:b/>
                <w:lang w:val="lt-LT" w:eastAsia="lt-LT"/>
              </w:rPr>
            </w:pPr>
            <w:r w:rsidRPr="005C2C45">
              <w:rPr>
                <w:rFonts w:eastAsia="Calibri"/>
                <w:b/>
                <w:lang w:val="lt-LT" w:eastAsia="lt-LT"/>
              </w:rPr>
              <w:t>Darbo užmokesčio sutartys, kuriose matytųsi atliekamos STS funkcijos;</w:t>
            </w:r>
          </w:p>
          <w:p w:rsidR="005C2C45" w:rsidRPr="005C2C45" w:rsidRDefault="005C2C45" w:rsidP="005C2C45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</w:tabs>
              <w:jc w:val="both"/>
              <w:rPr>
                <w:rFonts w:eastAsia="Calibri"/>
                <w:b/>
                <w:lang w:val="lt-LT" w:eastAsia="lt-LT"/>
              </w:rPr>
            </w:pPr>
            <w:r w:rsidRPr="005C2C45">
              <w:rPr>
                <w:rFonts w:eastAsia="Calibri"/>
                <w:b/>
                <w:lang w:val="lt-LT" w:eastAsia="lt-LT"/>
              </w:rPr>
              <w:t>STS asmenų/dokumentų/transporto</w:t>
            </w:r>
            <w:r>
              <w:rPr>
                <w:rFonts w:eastAsia="Calibri"/>
                <w:b/>
                <w:lang w:val="lt-LT" w:eastAsia="lt-LT"/>
              </w:rPr>
              <w:t xml:space="preserve"> priemonių tikrinimo protokolai;</w:t>
            </w:r>
          </w:p>
          <w:p w:rsidR="005C2C45" w:rsidRPr="005C2C45" w:rsidRDefault="005C2C45" w:rsidP="005C2C45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</w:tabs>
              <w:jc w:val="both"/>
              <w:rPr>
                <w:rFonts w:eastAsia="Calibri"/>
                <w:b/>
                <w:lang w:val="lt-LT" w:eastAsia="lt-LT"/>
              </w:rPr>
            </w:pPr>
            <w:r w:rsidRPr="005C2C45">
              <w:rPr>
                <w:rFonts w:eastAsia="Calibri"/>
                <w:b/>
                <w:lang w:val="lt-LT" w:eastAsia="lt-LT"/>
              </w:rPr>
              <w:t>Informacinių sistemų duomenys apie išduotus/patikrintus STS dokumentus</w:t>
            </w:r>
            <w:r>
              <w:rPr>
                <w:rFonts w:eastAsia="Calibri"/>
                <w:b/>
                <w:lang w:val="lt-LT" w:eastAsia="lt-LT"/>
              </w:rPr>
              <w:t xml:space="preserve"> lyginant su kitais dokumentais;</w:t>
            </w:r>
          </w:p>
          <w:p w:rsidR="005C2C45" w:rsidRPr="005C2C45" w:rsidRDefault="005C2C45" w:rsidP="005C2C45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</w:tabs>
              <w:jc w:val="both"/>
              <w:rPr>
                <w:rFonts w:eastAsia="Calibri"/>
                <w:b/>
                <w:lang w:val="lt-LT" w:eastAsia="lt-LT"/>
              </w:rPr>
            </w:pPr>
            <w:r w:rsidRPr="005C2C45">
              <w:rPr>
                <w:rFonts w:eastAsia="Calibri"/>
                <w:b/>
                <w:lang w:val="lt-LT" w:eastAsia="lt-LT"/>
              </w:rPr>
              <w:t>Informacinių sistemų duomenys apie patikrintus STS asmenis/transporto priemones lyginant su visais patikrintais a</w:t>
            </w:r>
            <w:r>
              <w:rPr>
                <w:rFonts w:eastAsia="Calibri"/>
                <w:b/>
                <w:lang w:val="lt-LT" w:eastAsia="lt-LT"/>
              </w:rPr>
              <w:t>smenimis/transporto priemonėmis;</w:t>
            </w:r>
          </w:p>
          <w:p w:rsidR="005C2C45" w:rsidRPr="005C2C45" w:rsidRDefault="005C2C45" w:rsidP="005C2C45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</w:tabs>
              <w:jc w:val="both"/>
              <w:rPr>
                <w:rFonts w:eastAsia="Calibri"/>
                <w:b/>
                <w:lang w:val="lt-LT" w:eastAsia="lt-LT"/>
              </w:rPr>
            </w:pPr>
            <w:r w:rsidRPr="005C2C45">
              <w:rPr>
                <w:rFonts w:eastAsia="Calibri"/>
                <w:b/>
                <w:lang w:val="lt-LT" w:eastAsia="lt-LT"/>
              </w:rPr>
              <w:t>Prekių išdavimo/ paslaugų suteikimo žurnalai.</w:t>
            </w:r>
          </w:p>
          <w:p w:rsidR="005C2C45" w:rsidRPr="00745A8B" w:rsidRDefault="005C2C45" w:rsidP="005C2C45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</w:tabs>
              <w:jc w:val="both"/>
              <w:rPr>
                <w:rFonts w:eastAsia="Calibri"/>
                <w:lang w:val="lt-LT" w:eastAsia="lt-LT"/>
              </w:rPr>
            </w:pPr>
            <w:r w:rsidRPr="005C2C45">
              <w:rPr>
                <w:rFonts w:eastAsia="Calibri"/>
                <w:b/>
                <w:lang w:val="lt-LT" w:eastAsia="lt-LT"/>
              </w:rPr>
              <w:t>Kiti dokumentai, kurie pagrįstų STS veiklą.</w:t>
            </w:r>
          </w:p>
        </w:tc>
      </w:tr>
      <w:tr w:rsidR="005C2C45" w:rsidRPr="007116F2" w:rsidTr="00991622">
        <w:tc>
          <w:tcPr>
            <w:tcW w:w="2943" w:type="dxa"/>
            <w:shd w:val="clear" w:color="auto" w:fill="auto"/>
          </w:tcPr>
          <w:p w:rsidR="005C2C45" w:rsidRPr="007E0563" w:rsidRDefault="005C2C45" w:rsidP="00991622">
            <w:pPr>
              <w:jc w:val="both"/>
              <w:rPr>
                <w:rFonts w:eastAsia="Calibri"/>
                <w:b/>
                <w:bCs/>
                <w:lang w:val="lt-LT" w:eastAsia="lt-LT"/>
              </w:rPr>
            </w:pPr>
            <w:r w:rsidRPr="007E0563">
              <w:rPr>
                <w:rFonts w:eastAsia="Calibri"/>
                <w:b/>
                <w:bCs/>
                <w:lang w:val="lt-LT" w:eastAsia="lt-LT"/>
              </w:rPr>
              <w:t>Prekės</w:t>
            </w:r>
          </w:p>
        </w:tc>
        <w:tc>
          <w:tcPr>
            <w:tcW w:w="6911" w:type="dxa"/>
            <w:shd w:val="clear" w:color="auto" w:fill="auto"/>
          </w:tcPr>
          <w:p w:rsidR="005C2C45" w:rsidRPr="00691F4F" w:rsidRDefault="005C2C45" w:rsidP="00991622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</w:tabs>
              <w:ind w:left="47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Pirkimo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pirkimo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procedūrų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dokumentai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2C45" w:rsidRPr="00691F4F" w:rsidRDefault="005C2C45" w:rsidP="00991622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</w:tabs>
              <w:ind w:left="47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sutartys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su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tiekėjais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2C45" w:rsidRPr="00691F4F" w:rsidRDefault="005C2C45" w:rsidP="00991622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</w:tabs>
              <w:ind w:left="47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nuomos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sutartys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2C45" w:rsidRPr="00691F4F" w:rsidRDefault="005C2C45" w:rsidP="00991622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</w:tabs>
              <w:ind w:left="47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prekių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perdavimo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priėmimo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aktai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2C45" w:rsidRPr="00691F4F" w:rsidRDefault="005C2C45" w:rsidP="00991622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</w:tabs>
              <w:ind w:left="47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įsigyto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turto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draudimo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nuo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visų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rizikų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dokumentai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jei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taikoma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2C45" w:rsidRPr="00691F4F" w:rsidRDefault="005C2C45" w:rsidP="00991622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</w:tabs>
              <w:ind w:left="47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nurašymo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aktai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nurašant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trumpalaikį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turtą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C2C45" w:rsidRPr="00691F4F" w:rsidRDefault="005C2C45" w:rsidP="00991622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</w:tabs>
              <w:ind w:left="47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lastRenderedPageBreak/>
              <w:t>sąskaitos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faktūros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lygiaverčiai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įrodomieji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dokumentai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2C45" w:rsidRPr="005C2C45" w:rsidRDefault="005C2C45" w:rsidP="00991622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</w:tabs>
              <w:ind w:left="470" w:hanging="357"/>
              <w:jc w:val="both"/>
              <w:rPr>
                <w:rFonts w:eastAsia="Calibri"/>
                <w:b/>
                <w:color w:val="FF0000"/>
                <w:lang w:val="lt-LT"/>
              </w:rPr>
            </w:pPr>
            <w:proofErr w:type="spellStart"/>
            <w:r w:rsidRPr="005C2C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Specialios</w:t>
            </w:r>
            <w:proofErr w:type="spellEnd"/>
            <w:r w:rsidRPr="005C2C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C2C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tranzito</w:t>
            </w:r>
            <w:proofErr w:type="spellEnd"/>
            <w:r w:rsidRPr="005C2C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C2C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schemos</w:t>
            </w:r>
            <w:proofErr w:type="spellEnd"/>
            <w:r w:rsidRPr="005C2C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C2C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veiklų</w:t>
            </w:r>
            <w:proofErr w:type="spellEnd"/>
            <w:r w:rsidRPr="005C2C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C2C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priskyrimą</w:t>
            </w:r>
            <w:proofErr w:type="spellEnd"/>
            <w:r w:rsidRPr="005C2C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C2C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pagrindžiantys</w:t>
            </w:r>
            <w:proofErr w:type="spellEnd"/>
            <w:r w:rsidRPr="005C2C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C2C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dokumentai</w:t>
            </w:r>
            <w:proofErr w:type="spellEnd"/>
            <w:r w:rsidRPr="005C2C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proofErr w:type="spellStart"/>
            <w:r w:rsidRPr="005C2C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taikoma</w:t>
            </w:r>
            <w:proofErr w:type="spellEnd"/>
            <w:r w:rsidRPr="005C2C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C2C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projektams</w:t>
            </w:r>
            <w:proofErr w:type="spellEnd"/>
            <w:r w:rsidRPr="005C2C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5C2C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finansuojamiems</w:t>
            </w:r>
            <w:proofErr w:type="spellEnd"/>
            <w:r w:rsidRPr="005C2C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STS </w:t>
            </w:r>
            <w:proofErr w:type="spellStart"/>
            <w:r w:rsidRPr="005C2C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lėšomis</w:t>
            </w:r>
            <w:proofErr w:type="spellEnd"/>
            <w:r w:rsidRPr="005C2C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  <w:r w:rsidRPr="005C2C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:</w:t>
            </w:r>
          </w:p>
          <w:p w:rsidR="005C2C45" w:rsidRPr="005C2C45" w:rsidRDefault="005C2C45" w:rsidP="005C2C45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</w:tabs>
              <w:jc w:val="both"/>
              <w:rPr>
                <w:rFonts w:eastAsia="Calibri"/>
                <w:b/>
                <w:lang w:val="lt-LT" w:eastAsia="lt-LT"/>
              </w:rPr>
            </w:pPr>
            <w:r w:rsidRPr="005C2C45">
              <w:rPr>
                <w:rFonts w:eastAsia="Calibri"/>
                <w:b/>
                <w:lang w:val="lt-LT" w:eastAsia="lt-LT"/>
              </w:rPr>
              <w:t>Metodikos, kurios pagrįstų funkcijų priskyrimą STS veiklai;</w:t>
            </w:r>
          </w:p>
          <w:p w:rsidR="005C2C45" w:rsidRPr="005C2C45" w:rsidRDefault="005C2C45" w:rsidP="005C2C45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</w:tabs>
              <w:jc w:val="both"/>
              <w:rPr>
                <w:rFonts w:eastAsia="Calibri"/>
                <w:b/>
                <w:lang w:val="lt-LT" w:eastAsia="lt-LT"/>
              </w:rPr>
            </w:pPr>
            <w:r w:rsidRPr="005C2C45">
              <w:rPr>
                <w:rFonts w:eastAsia="Calibri"/>
                <w:b/>
                <w:lang w:val="lt-LT" w:eastAsia="lt-LT"/>
              </w:rPr>
              <w:t>Įstaigos tvarka, kurioje aprašytas vykdomų STS funkcijų detalus aprašymas ir skaičiavimai, kurie pagrįstų projekto rezultato panaudojimą STS veiklai prašomu finansuoti atitinkamu procentu;</w:t>
            </w:r>
          </w:p>
          <w:p w:rsidR="005C2C45" w:rsidRPr="005C2C45" w:rsidRDefault="005C2C45" w:rsidP="005C2C45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</w:tabs>
              <w:jc w:val="both"/>
              <w:rPr>
                <w:rFonts w:eastAsia="Calibri"/>
                <w:b/>
                <w:lang w:val="lt-LT" w:eastAsia="lt-LT"/>
              </w:rPr>
            </w:pPr>
            <w:r w:rsidRPr="005C2C45">
              <w:rPr>
                <w:rFonts w:eastAsia="Calibri"/>
                <w:b/>
                <w:lang w:val="lt-LT" w:eastAsia="lt-LT"/>
              </w:rPr>
              <w:t>Įsakymas/Nurodymas dėl konkrečių prekių priskyrimo/naudojimo STS veiklai;</w:t>
            </w:r>
          </w:p>
          <w:p w:rsidR="005C2C45" w:rsidRPr="005C2C45" w:rsidRDefault="005C2C45" w:rsidP="005C2C45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</w:tabs>
              <w:jc w:val="both"/>
              <w:rPr>
                <w:rFonts w:eastAsia="Calibri"/>
                <w:b/>
                <w:lang w:val="lt-LT" w:eastAsia="lt-LT"/>
              </w:rPr>
            </w:pPr>
            <w:r w:rsidRPr="005C2C45">
              <w:rPr>
                <w:rFonts w:eastAsia="Calibri"/>
                <w:b/>
                <w:lang w:val="lt-LT" w:eastAsia="lt-LT"/>
              </w:rPr>
              <w:t>Patalpų/prekių priskyrimas STS veiklai su nurodytais skaičiavimais;</w:t>
            </w:r>
          </w:p>
          <w:p w:rsidR="005C2C45" w:rsidRPr="005C2C45" w:rsidRDefault="005C2C45" w:rsidP="005C2C45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</w:tabs>
              <w:jc w:val="both"/>
              <w:rPr>
                <w:rFonts w:eastAsia="Calibri"/>
                <w:b/>
                <w:lang w:val="lt-LT" w:eastAsia="lt-LT"/>
              </w:rPr>
            </w:pPr>
            <w:r w:rsidRPr="005C2C45">
              <w:rPr>
                <w:rFonts w:eastAsia="Calibri"/>
                <w:b/>
                <w:lang w:val="lt-LT" w:eastAsia="lt-LT"/>
              </w:rPr>
              <w:t>Darbo užmokesčio tabeliai/</w:t>
            </w:r>
            <w:proofErr w:type="spellStart"/>
            <w:r w:rsidRPr="005C2C45">
              <w:rPr>
                <w:rFonts w:eastAsia="Calibri"/>
                <w:b/>
                <w:lang w:val="lt-LT" w:eastAsia="lt-LT"/>
              </w:rPr>
              <w:t>laikaraščiai</w:t>
            </w:r>
            <w:proofErr w:type="spellEnd"/>
            <w:r w:rsidRPr="005C2C45">
              <w:rPr>
                <w:rFonts w:eastAsia="Calibri"/>
                <w:b/>
                <w:lang w:val="lt-LT" w:eastAsia="lt-LT"/>
              </w:rPr>
              <w:t>, kuriose aiškiai matomos STS vykdytos funkcijos ir funkcijoms vykdyti skirtas laikas;</w:t>
            </w:r>
          </w:p>
          <w:p w:rsidR="005C2C45" w:rsidRPr="005C2C45" w:rsidRDefault="005C2C45" w:rsidP="005C2C45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</w:tabs>
              <w:jc w:val="both"/>
              <w:rPr>
                <w:rFonts w:eastAsia="Calibri"/>
                <w:b/>
                <w:lang w:val="lt-LT" w:eastAsia="lt-LT"/>
              </w:rPr>
            </w:pPr>
            <w:r w:rsidRPr="005C2C45">
              <w:rPr>
                <w:rFonts w:eastAsia="Calibri"/>
                <w:b/>
                <w:lang w:val="lt-LT" w:eastAsia="lt-LT"/>
              </w:rPr>
              <w:t>Darbo užmokesčio sutartys, kuriose matytųsi atliekamos STS funkcijos;</w:t>
            </w:r>
          </w:p>
          <w:p w:rsidR="005C2C45" w:rsidRPr="005C2C45" w:rsidRDefault="005C2C45" w:rsidP="005C2C45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</w:tabs>
              <w:jc w:val="both"/>
              <w:rPr>
                <w:rFonts w:eastAsia="Calibri"/>
                <w:b/>
                <w:lang w:val="lt-LT" w:eastAsia="lt-LT"/>
              </w:rPr>
            </w:pPr>
            <w:r w:rsidRPr="005C2C45">
              <w:rPr>
                <w:rFonts w:eastAsia="Calibri"/>
                <w:b/>
                <w:lang w:val="lt-LT" w:eastAsia="lt-LT"/>
              </w:rPr>
              <w:t>STS asmenų/dokumentų/transporto</w:t>
            </w:r>
            <w:r>
              <w:rPr>
                <w:rFonts w:eastAsia="Calibri"/>
                <w:b/>
                <w:lang w:val="lt-LT" w:eastAsia="lt-LT"/>
              </w:rPr>
              <w:t xml:space="preserve"> priemonių tikrinimo protokolai;</w:t>
            </w:r>
          </w:p>
          <w:p w:rsidR="005C2C45" w:rsidRPr="005C2C45" w:rsidRDefault="005C2C45" w:rsidP="005C2C45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</w:tabs>
              <w:jc w:val="both"/>
              <w:rPr>
                <w:rFonts w:eastAsia="Calibri"/>
                <w:b/>
                <w:lang w:val="lt-LT" w:eastAsia="lt-LT"/>
              </w:rPr>
            </w:pPr>
            <w:r w:rsidRPr="005C2C45">
              <w:rPr>
                <w:rFonts w:eastAsia="Calibri"/>
                <w:b/>
                <w:lang w:val="lt-LT" w:eastAsia="lt-LT"/>
              </w:rPr>
              <w:t>Informacinių sistemų duomenys apie išduotus/patikrintus STS dokumentus</w:t>
            </w:r>
            <w:r>
              <w:rPr>
                <w:rFonts w:eastAsia="Calibri"/>
                <w:b/>
                <w:lang w:val="lt-LT" w:eastAsia="lt-LT"/>
              </w:rPr>
              <w:t xml:space="preserve"> lyginant su kitais dokumentais;</w:t>
            </w:r>
          </w:p>
          <w:p w:rsidR="005C2C45" w:rsidRPr="005C2C45" w:rsidRDefault="005C2C45" w:rsidP="005C2C45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</w:tabs>
              <w:jc w:val="both"/>
              <w:rPr>
                <w:rFonts w:eastAsia="Calibri"/>
                <w:b/>
                <w:lang w:val="lt-LT" w:eastAsia="lt-LT"/>
              </w:rPr>
            </w:pPr>
            <w:r w:rsidRPr="005C2C45">
              <w:rPr>
                <w:rFonts w:eastAsia="Calibri"/>
                <w:b/>
                <w:lang w:val="lt-LT" w:eastAsia="lt-LT"/>
              </w:rPr>
              <w:t>Informacinių sistemų duomenys apie patikrintus STS asmenis/transporto priemones lyginant su visais patikrintais a</w:t>
            </w:r>
            <w:r>
              <w:rPr>
                <w:rFonts w:eastAsia="Calibri"/>
                <w:b/>
                <w:lang w:val="lt-LT" w:eastAsia="lt-LT"/>
              </w:rPr>
              <w:t>smenimis/transporto priemonėmis;</w:t>
            </w:r>
          </w:p>
          <w:p w:rsidR="005C2C45" w:rsidRPr="005C2C45" w:rsidRDefault="005C2C45" w:rsidP="005C2C45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</w:tabs>
              <w:jc w:val="both"/>
              <w:rPr>
                <w:rFonts w:eastAsia="Calibri"/>
                <w:b/>
                <w:lang w:val="lt-LT" w:eastAsia="lt-LT"/>
              </w:rPr>
            </w:pPr>
            <w:r w:rsidRPr="005C2C45">
              <w:rPr>
                <w:rFonts w:eastAsia="Calibri"/>
                <w:b/>
                <w:lang w:val="lt-LT" w:eastAsia="lt-LT"/>
              </w:rPr>
              <w:t>Prekių išdavimo</w:t>
            </w:r>
            <w:r>
              <w:rPr>
                <w:rFonts w:eastAsia="Calibri"/>
                <w:b/>
                <w:lang w:val="lt-LT" w:eastAsia="lt-LT"/>
              </w:rPr>
              <w:t>/ paslaugų suteikimo žurnalai;</w:t>
            </w:r>
          </w:p>
          <w:p w:rsidR="005C2C45" w:rsidRPr="007116F2" w:rsidRDefault="005C2C45" w:rsidP="005C2C45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</w:tabs>
              <w:ind w:left="470" w:hanging="357"/>
              <w:jc w:val="both"/>
              <w:rPr>
                <w:rFonts w:eastAsia="Calibri"/>
                <w:lang w:val="lt-LT"/>
              </w:rPr>
            </w:pPr>
            <w:r w:rsidRPr="005C2C45">
              <w:rPr>
                <w:rFonts w:eastAsia="Calibri"/>
                <w:b/>
                <w:lang w:val="lt-LT" w:eastAsia="lt-LT"/>
              </w:rPr>
              <w:t>Kiti dokumentai, kurie pagrįstų STS veiklą.</w:t>
            </w:r>
          </w:p>
        </w:tc>
      </w:tr>
      <w:tr w:rsidR="005C2C45" w:rsidRPr="007E0563" w:rsidTr="00991622">
        <w:tc>
          <w:tcPr>
            <w:tcW w:w="2943" w:type="dxa"/>
            <w:shd w:val="clear" w:color="auto" w:fill="auto"/>
          </w:tcPr>
          <w:p w:rsidR="005C2C45" w:rsidRPr="007E0563" w:rsidRDefault="005C2C45" w:rsidP="00991622">
            <w:pPr>
              <w:jc w:val="both"/>
              <w:rPr>
                <w:rFonts w:eastAsia="Calibri"/>
                <w:b/>
                <w:bCs/>
                <w:lang w:val="lt-LT" w:eastAsia="lt-LT"/>
              </w:rPr>
            </w:pPr>
            <w:r w:rsidRPr="007E0563">
              <w:rPr>
                <w:rFonts w:eastAsia="Calibri"/>
                <w:b/>
                <w:bCs/>
                <w:lang w:val="lt-LT" w:eastAsia="lt-LT"/>
              </w:rPr>
              <w:lastRenderedPageBreak/>
              <w:t>Paslaugos</w:t>
            </w:r>
          </w:p>
        </w:tc>
        <w:tc>
          <w:tcPr>
            <w:tcW w:w="6911" w:type="dxa"/>
            <w:shd w:val="clear" w:color="auto" w:fill="auto"/>
          </w:tcPr>
          <w:p w:rsidR="005C2C45" w:rsidRPr="00691F4F" w:rsidRDefault="005C2C45" w:rsidP="00991622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</w:tabs>
              <w:ind w:left="47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Pirkimo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pirkimo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procedūrų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dokumentai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2C45" w:rsidRPr="00691F4F" w:rsidRDefault="005C2C45" w:rsidP="00991622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</w:tabs>
              <w:ind w:left="47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sutartys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su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paslaugų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teikėjais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įskaitant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autorines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sutartis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C2C45" w:rsidRPr="00691F4F" w:rsidRDefault="005C2C45" w:rsidP="00991622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</w:tabs>
              <w:ind w:left="47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paslaugų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autorinių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kūrinių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perdavimo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priėmimo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aktai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kiti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dokumentai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jei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sutartyje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nurodyta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kita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perdavimo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priėmimo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forma;</w:t>
            </w:r>
          </w:p>
          <w:p w:rsidR="005C2C45" w:rsidRPr="00691F4F" w:rsidRDefault="005C2C45" w:rsidP="00991622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</w:tabs>
              <w:ind w:left="47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sąskaitos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faktūros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lygiaverčiai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įrodomieji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dokumentai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2C45" w:rsidRPr="00691F4F" w:rsidRDefault="005C2C45" w:rsidP="00991622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</w:tabs>
              <w:ind w:left="47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draudimo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įmonių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suteiktų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garantijų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laidavimo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raštų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arba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laidavimo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draudimo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paslaugų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kurios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numatytos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pagal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sutarčių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su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paslaugų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teikėjais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sąlygas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išlaidoms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pagrįsti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finansų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įstaigų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draudimo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įmonių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išduodami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garantijų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raštai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laidavimo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raštai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draudimo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polisai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turi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būti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teikiami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faktinio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apmokėjimo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patvirtinimo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dokumentai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C2C45" w:rsidRPr="00691F4F" w:rsidRDefault="005C2C45" w:rsidP="00991622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</w:tabs>
              <w:ind w:left="47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tarpiniai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pvz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įvadinė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tarpinės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ataskaitos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jei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jų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apmokėjimas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numatytas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sutartyje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su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paslaugų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teikėju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galutiniai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produktai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jų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elektroninės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versijos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jeigu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jų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prašo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įgaliotoji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institucija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2C45" w:rsidRPr="00691F4F" w:rsidRDefault="005C2C45" w:rsidP="00991622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</w:tabs>
              <w:ind w:left="47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kiti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projekto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veiklų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įvykdymo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pagrindimo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dokumentai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jeigu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taikoma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pvz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mokymų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renginių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išlaidoms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pagrįsti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mokymų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lastRenderedPageBreak/>
              <w:t>grafikas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mokymų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renginio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dalyvių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sąrašas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su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parašais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kiekvieną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renginio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dieną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dalyvių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mokymų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lankomumo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suvestinė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pažymėjimų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suvestinė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baigimo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pažymėjimo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kopijos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mokymų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dalomoji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medžiaga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mokymų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darbotvarkė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nedalyvavimo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mokymuose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pateisinimo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dokumentai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projekto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vykdymo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pažyma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kurioje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detalizuojamos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renginių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organizavimo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išlaidos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5C2C45" w:rsidRPr="005C2C45" w:rsidRDefault="005C2C45" w:rsidP="00991622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</w:tabs>
              <w:ind w:left="470" w:hanging="357"/>
              <w:jc w:val="both"/>
              <w:rPr>
                <w:rFonts w:eastAsia="Calibri"/>
                <w:b/>
                <w:color w:val="FF0000"/>
                <w:lang w:val="lt-LT"/>
              </w:rPr>
            </w:pPr>
            <w:proofErr w:type="spellStart"/>
            <w:r w:rsidRPr="005C2C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Specialios</w:t>
            </w:r>
            <w:proofErr w:type="spellEnd"/>
            <w:r w:rsidRPr="005C2C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C2C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tranzito</w:t>
            </w:r>
            <w:proofErr w:type="spellEnd"/>
            <w:r w:rsidRPr="005C2C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C2C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schemos</w:t>
            </w:r>
            <w:proofErr w:type="spellEnd"/>
            <w:r w:rsidRPr="005C2C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C2C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veiklų</w:t>
            </w:r>
            <w:proofErr w:type="spellEnd"/>
            <w:r w:rsidRPr="005C2C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C2C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priskyrimą</w:t>
            </w:r>
            <w:proofErr w:type="spellEnd"/>
            <w:r w:rsidRPr="005C2C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C2C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pagrindžiantys</w:t>
            </w:r>
            <w:proofErr w:type="spellEnd"/>
            <w:r w:rsidRPr="005C2C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C2C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dokumentai</w:t>
            </w:r>
            <w:proofErr w:type="spellEnd"/>
            <w:r w:rsidRPr="005C2C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proofErr w:type="spellStart"/>
            <w:r w:rsidRPr="005C2C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taikoma</w:t>
            </w:r>
            <w:proofErr w:type="spellEnd"/>
            <w:r w:rsidRPr="005C2C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C2C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projektams</w:t>
            </w:r>
            <w:proofErr w:type="spellEnd"/>
            <w:r w:rsidRPr="005C2C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5C2C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finansuojamiems</w:t>
            </w:r>
            <w:proofErr w:type="spellEnd"/>
            <w:r w:rsidRPr="005C2C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STS </w:t>
            </w:r>
            <w:proofErr w:type="spellStart"/>
            <w:r w:rsidRPr="005C2C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lėšomis</w:t>
            </w:r>
            <w:proofErr w:type="spellEnd"/>
            <w:r w:rsidRPr="005C2C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  <w:r w:rsidRPr="005C2C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:</w:t>
            </w:r>
          </w:p>
          <w:p w:rsidR="005C2C45" w:rsidRPr="005C2C45" w:rsidRDefault="005C2C45" w:rsidP="005C2C45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</w:tabs>
              <w:jc w:val="both"/>
              <w:rPr>
                <w:rFonts w:eastAsia="Calibri"/>
                <w:b/>
                <w:lang w:val="lt-LT" w:eastAsia="lt-LT"/>
              </w:rPr>
            </w:pPr>
            <w:r w:rsidRPr="005C2C45">
              <w:rPr>
                <w:rFonts w:eastAsia="Calibri"/>
                <w:b/>
                <w:lang w:val="lt-LT" w:eastAsia="lt-LT"/>
              </w:rPr>
              <w:t>Metodikos, kurios pagrįstų funkcijų priskyrimą STS veiklai;</w:t>
            </w:r>
          </w:p>
          <w:p w:rsidR="005C2C45" w:rsidRPr="005C2C45" w:rsidRDefault="005C2C45" w:rsidP="005C2C45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</w:tabs>
              <w:jc w:val="both"/>
              <w:rPr>
                <w:rFonts w:eastAsia="Calibri"/>
                <w:b/>
                <w:lang w:val="lt-LT" w:eastAsia="lt-LT"/>
              </w:rPr>
            </w:pPr>
            <w:r w:rsidRPr="005C2C45">
              <w:rPr>
                <w:rFonts w:eastAsia="Calibri"/>
                <w:b/>
                <w:lang w:val="lt-LT" w:eastAsia="lt-LT"/>
              </w:rPr>
              <w:t>Įstaigos tvarka, kurioje aprašytas vykdomų STS funkcijų detalus aprašymas ir skaičiavimai, kurie pagrįstų projekto rezultato panaudojimą STS veiklai prašomu finansuoti atitinkamu procentu;</w:t>
            </w:r>
          </w:p>
          <w:p w:rsidR="005C2C45" w:rsidRPr="005C2C45" w:rsidRDefault="005C2C45" w:rsidP="005C2C45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</w:tabs>
              <w:jc w:val="both"/>
              <w:rPr>
                <w:rFonts w:eastAsia="Calibri"/>
                <w:b/>
                <w:lang w:val="lt-LT" w:eastAsia="lt-LT"/>
              </w:rPr>
            </w:pPr>
            <w:r w:rsidRPr="005C2C45">
              <w:rPr>
                <w:rFonts w:eastAsia="Calibri"/>
                <w:b/>
                <w:lang w:val="lt-LT" w:eastAsia="lt-LT"/>
              </w:rPr>
              <w:t>Įsakymas/Nurodymas dėl konkrečių prekių priskyrimo/naudojimo STS veiklai;</w:t>
            </w:r>
          </w:p>
          <w:p w:rsidR="005C2C45" w:rsidRPr="005C2C45" w:rsidRDefault="005C2C45" w:rsidP="005C2C45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</w:tabs>
              <w:jc w:val="both"/>
              <w:rPr>
                <w:rFonts w:eastAsia="Calibri"/>
                <w:b/>
                <w:lang w:val="lt-LT" w:eastAsia="lt-LT"/>
              </w:rPr>
            </w:pPr>
            <w:r w:rsidRPr="005C2C45">
              <w:rPr>
                <w:rFonts w:eastAsia="Calibri"/>
                <w:b/>
                <w:lang w:val="lt-LT" w:eastAsia="lt-LT"/>
              </w:rPr>
              <w:t>Patalpų/prekių priskyrimas STS veiklai su nurodytais skaičiavimais;</w:t>
            </w:r>
          </w:p>
          <w:p w:rsidR="005C2C45" w:rsidRPr="005C2C45" w:rsidRDefault="005C2C45" w:rsidP="005C2C45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</w:tabs>
              <w:jc w:val="both"/>
              <w:rPr>
                <w:rFonts w:eastAsia="Calibri"/>
                <w:b/>
                <w:lang w:val="lt-LT" w:eastAsia="lt-LT"/>
              </w:rPr>
            </w:pPr>
            <w:r w:rsidRPr="005C2C45">
              <w:rPr>
                <w:rFonts w:eastAsia="Calibri"/>
                <w:b/>
                <w:lang w:val="lt-LT" w:eastAsia="lt-LT"/>
              </w:rPr>
              <w:t>Darbo užmokesčio tabeliai/</w:t>
            </w:r>
            <w:proofErr w:type="spellStart"/>
            <w:r w:rsidRPr="005C2C45">
              <w:rPr>
                <w:rFonts w:eastAsia="Calibri"/>
                <w:b/>
                <w:lang w:val="lt-LT" w:eastAsia="lt-LT"/>
              </w:rPr>
              <w:t>laikaraščiai</w:t>
            </w:r>
            <w:proofErr w:type="spellEnd"/>
            <w:r w:rsidRPr="005C2C45">
              <w:rPr>
                <w:rFonts w:eastAsia="Calibri"/>
                <w:b/>
                <w:lang w:val="lt-LT" w:eastAsia="lt-LT"/>
              </w:rPr>
              <w:t>, kuriose aiškiai matomos STS vykdytos funkcijos ir funkcijoms vykdyti skirtas laikas;</w:t>
            </w:r>
          </w:p>
          <w:p w:rsidR="005C2C45" w:rsidRPr="005C2C45" w:rsidRDefault="005C2C45" w:rsidP="005C2C45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</w:tabs>
              <w:jc w:val="both"/>
              <w:rPr>
                <w:rFonts w:eastAsia="Calibri"/>
                <w:b/>
                <w:lang w:val="lt-LT" w:eastAsia="lt-LT"/>
              </w:rPr>
            </w:pPr>
            <w:r w:rsidRPr="005C2C45">
              <w:rPr>
                <w:rFonts w:eastAsia="Calibri"/>
                <w:b/>
                <w:lang w:val="lt-LT" w:eastAsia="lt-LT"/>
              </w:rPr>
              <w:t>Darbo užmokesčio sutartys, kuriose matytųsi atliekamos STS funkcijos;</w:t>
            </w:r>
          </w:p>
          <w:p w:rsidR="005C2C45" w:rsidRPr="005C2C45" w:rsidRDefault="005C2C45" w:rsidP="005C2C45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</w:tabs>
              <w:jc w:val="both"/>
              <w:rPr>
                <w:rFonts w:eastAsia="Calibri"/>
                <w:b/>
                <w:lang w:val="lt-LT" w:eastAsia="lt-LT"/>
              </w:rPr>
            </w:pPr>
            <w:r w:rsidRPr="005C2C45">
              <w:rPr>
                <w:rFonts w:eastAsia="Calibri"/>
                <w:b/>
                <w:lang w:val="lt-LT" w:eastAsia="lt-LT"/>
              </w:rPr>
              <w:t>STS asmenų/dokumentų/transporto</w:t>
            </w:r>
            <w:r>
              <w:rPr>
                <w:rFonts w:eastAsia="Calibri"/>
                <w:b/>
                <w:lang w:val="lt-LT" w:eastAsia="lt-LT"/>
              </w:rPr>
              <w:t xml:space="preserve"> priemonių tikrinimo protokolai;</w:t>
            </w:r>
          </w:p>
          <w:p w:rsidR="005C2C45" w:rsidRPr="005C2C45" w:rsidRDefault="005C2C45" w:rsidP="005C2C45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</w:tabs>
              <w:jc w:val="both"/>
              <w:rPr>
                <w:rFonts w:eastAsia="Calibri"/>
                <w:b/>
                <w:lang w:val="lt-LT" w:eastAsia="lt-LT"/>
              </w:rPr>
            </w:pPr>
            <w:r w:rsidRPr="005C2C45">
              <w:rPr>
                <w:rFonts w:eastAsia="Calibri"/>
                <w:b/>
                <w:lang w:val="lt-LT" w:eastAsia="lt-LT"/>
              </w:rPr>
              <w:t>Informacinių sistemų duomenys apie išduotus/patikrintus STS dokumentus</w:t>
            </w:r>
            <w:r>
              <w:rPr>
                <w:rFonts w:eastAsia="Calibri"/>
                <w:b/>
                <w:lang w:val="lt-LT" w:eastAsia="lt-LT"/>
              </w:rPr>
              <w:t xml:space="preserve"> lyginant su kitais dokumentais;</w:t>
            </w:r>
          </w:p>
          <w:p w:rsidR="005C2C45" w:rsidRPr="005C2C45" w:rsidRDefault="005C2C45" w:rsidP="005C2C45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</w:tabs>
              <w:jc w:val="both"/>
              <w:rPr>
                <w:rFonts w:eastAsia="Calibri"/>
                <w:b/>
                <w:lang w:val="lt-LT" w:eastAsia="lt-LT"/>
              </w:rPr>
            </w:pPr>
            <w:r w:rsidRPr="005C2C45">
              <w:rPr>
                <w:rFonts w:eastAsia="Calibri"/>
                <w:b/>
                <w:lang w:val="lt-LT" w:eastAsia="lt-LT"/>
              </w:rPr>
              <w:t>Informacinių sistemų duomenys apie patikrintus STS asmenis/transporto priemones lyginant su visais patikrintais a</w:t>
            </w:r>
            <w:r>
              <w:rPr>
                <w:rFonts w:eastAsia="Calibri"/>
                <w:b/>
                <w:lang w:val="lt-LT" w:eastAsia="lt-LT"/>
              </w:rPr>
              <w:t>smenimis/transporto priemonėmis;</w:t>
            </w:r>
          </w:p>
          <w:p w:rsidR="005C2C45" w:rsidRPr="005C2C45" w:rsidRDefault="005C2C45" w:rsidP="005C2C45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</w:tabs>
              <w:jc w:val="both"/>
              <w:rPr>
                <w:rFonts w:eastAsia="Calibri"/>
                <w:b/>
                <w:lang w:val="lt-LT" w:eastAsia="lt-LT"/>
              </w:rPr>
            </w:pPr>
            <w:r w:rsidRPr="005C2C45">
              <w:rPr>
                <w:rFonts w:eastAsia="Calibri"/>
                <w:b/>
                <w:lang w:val="lt-LT" w:eastAsia="lt-LT"/>
              </w:rPr>
              <w:t>Prekių išdavimo</w:t>
            </w:r>
            <w:r>
              <w:rPr>
                <w:rFonts w:eastAsia="Calibri"/>
                <w:b/>
                <w:lang w:val="lt-LT" w:eastAsia="lt-LT"/>
              </w:rPr>
              <w:t>/ paslaugų suteikimo žurnalai;</w:t>
            </w:r>
          </w:p>
          <w:p w:rsidR="005C2C45" w:rsidRPr="007E0563" w:rsidRDefault="005C2C45" w:rsidP="005C2C45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</w:tabs>
              <w:ind w:left="470" w:hanging="357"/>
              <w:jc w:val="both"/>
              <w:rPr>
                <w:rFonts w:eastAsia="Calibri"/>
                <w:lang w:val="lt-LT"/>
              </w:rPr>
            </w:pPr>
            <w:r w:rsidRPr="005C2C45">
              <w:rPr>
                <w:rFonts w:eastAsia="Calibri"/>
                <w:b/>
                <w:lang w:val="lt-LT" w:eastAsia="lt-LT"/>
              </w:rPr>
              <w:t>Kiti dokumentai, kurie pagrįstų STS veiklą.</w:t>
            </w:r>
          </w:p>
        </w:tc>
      </w:tr>
      <w:tr w:rsidR="005C2C45" w:rsidRPr="00691F4F" w:rsidTr="00991622">
        <w:tc>
          <w:tcPr>
            <w:tcW w:w="2943" w:type="dxa"/>
            <w:shd w:val="clear" w:color="auto" w:fill="auto"/>
          </w:tcPr>
          <w:p w:rsidR="005C2C45" w:rsidRPr="007E0563" w:rsidRDefault="005C2C45" w:rsidP="00991622">
            <w:pPr>
              <w:jc w:val="both"/>
              <w:rPr>
                <w:rFonts w:eastAsia="Calibri"/>
                <w:b/>
                <w:bCs/>
                <w:lang w:val="lt-LT" w:eastAsia="lt-LT"/>
              </w:rPr>
            </w:pPr>
            <w:r w:rsidRPr="007E0563">
              <w:rPr>
                <w:rFonts w:eastAsia="Calibri"/>
                <w:b/>
                <w:bCs/>
                <w:lang w:val="lt-LT" w:eastAsia="lt-LT"/>
              </w:rPr>
              <w:lastRenderedPageBreak/>
              <w:t xml:space="preserve">Darbo užmokestis </w:t>
            </w:r>
          </w:p>
        </w:tc>
        <w:tc>
          <w:tcPr>
            <w:tcW w:w="6911" w:type="dxa"/>
            <w:shd w:val="clear" w:color="auto" w:fill="auto"/>
          </w:tcPr>
          <w:p w:rsidR="005C2C45" w:rsidRPr="00691F4F" w:rsidRDefault="005C2C45" w:rsidP="00991622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</w:tabs>
              <w:ind w:left="47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Dokumentai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kuriuose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nustatomos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asmenų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darbo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funkcijos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darbo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užmokestis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pvz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darbo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sutartys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arba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jų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išrašai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projekto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vykdytojo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projekto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partnerio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vadovo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įsakymas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potvarkis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dėl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darbuotojų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paskyrimo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dirbti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įgyvendinant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projektą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kuriuose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turėtų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būti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nurodytos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darbuotojo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pareigos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įgyvendinant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projektą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projekto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numeris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pavadinimas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darbo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įgyvendinant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projektą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laikas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trukmė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darbo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užmokestis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arba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jo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apskaičiavimo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tvarka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įsakymai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dėl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priedų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priemokų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skyrimo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2C45" w:rsidRPr="00691F4F" w:rsidRDefault="005C2C45" w:rsidP="00991622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</w:tabs>
              <w:ind w:left="47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dokumentiniai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įrodymai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apie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asmenų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įgyvendinant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projektą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išdirbtą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darbo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laiką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pvz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darbo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laiko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apskaitos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žiniaraščiai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C2C45" w:rsidRPr="00691F4F" w:rsidRDefault="005C2C45" w:rsidP="00991622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</w:tabs>
              <w:ind w:left="47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lastRenderedPageBreak/>
              <w:t>suvestinė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pažyma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dėl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darbo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užmokesčio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apskaičiavimo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išmokėjimo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arba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darbo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užmokesčio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apskaitos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dokumentai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2C45" w:rsidRPr="00691F4F" w:rsidRDefault="005C2C45" w:rsidP="00991622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</w:tabs>
              <w:ind w:left="47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dokumentai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kuriais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pagrindžiamas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darbuotojo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darbo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funkcijų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atlikimas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pareigybių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aprašymai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kuriuose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nurodytas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darbas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įgyvendinant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projektą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(kai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pirmą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kartą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deklaruojamas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asmens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darbo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užmokestis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arba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projektą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vykdančių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asmenų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pažymos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dėl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atliktų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darbų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pagal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darbo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sutartis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2C45" w:rsidRPr="00691F4F" w:rsidRDefault="005C2C45" w:rsidP="00991622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</w:tabs>
              <w:ind w:left="47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F4F">
              <w:rPr>
                <w:rFonts w:ascii="Times New Roman" w:hAnsi="Times New Roman"/>
                <w:sz w:val="24"/>
                <w:szCs w:val="24"/>
              </w:rPr>
              <w:t xml:space="preserve">kai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deklaruojamos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darbo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užmokesčio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išlaidos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skirtos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sumokėti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už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galutinių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produktų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sukūrimą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, –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galutiniai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produktai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jų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elektroninės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versijos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gali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būti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prašoma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pateikti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kokybės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patvirtinimo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dokumentus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pagal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nustatytą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organizacijos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vidaus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tvarką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parengtus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arba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išorinių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institucijų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ekspertų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pateiktus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dokumentus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C2C45" w:rsidRPr="00691F4F" w:rsidTr="00991622">
        <w:tc>
          <w:tcPr>
            <w:tcW w:w="2943" w:type="dxa"/>
            <w:shd w:val="clear" w:color="auto" w:fill="auto"/>
          </w:tcPr>
          <w:p w:rsidR="005C2C45" w:rsidRPr="007E0563" w:rsidRDefault="005C2C45" w:rsidP="00991622">
            <w:pPr>
              <w:jc w:val="both"/>
              <w:rPr>
                <w:rFonts w:eastAsia="Calibri"/>
                <w:b/>
                <w:bCs/>
                <w:lang w:val="lt-LT" w:eastAsia="lt-LT"/>
              </w:rPr>
            </w:pPr>
            <w:r w:rsidRPr="007E0563">
              <w:rPr>
                <w:rFonts w:eastAsia="Calibri"/>
                <w:b/>
                <w:bCs/>
                <w:lang w:val="lt-LT" w:eastAsia="lt-LT"/>
              </w:rPr>
              <w:lastRenderedPageBreak/>
              <w:t>Kelionės ir komandiruotės</w:t>
            </w:r>
          </w:p>
        </w:tc>
        <w:tc>
          <w:tcPr>
            <w:tcW w:w="6911" w:type="dxa"/>
            <w:shd w:val="clear" w:color="auto" w:fill="auto"/>
          </w:tcPr>
          <w:p w:rsidR="005C2C45" w:rsidRPr="00691F4F" w:rsidRDefault="005C2C45" w:rsidP="00991622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</w:tabs>
              <w:ind w:left="47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Projekto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vykdytojo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projekto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partnerio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vadovo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įsakymas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potvarkis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dėl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darbuotojų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komandiruočių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kuriame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turėtų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būti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nurodytas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komandiruojamas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projekto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dalyvis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komandiruotės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tikslas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trukmė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vieta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numatomos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apmokėti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išlaidos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2C45" w:rsidRPr="00691F4F" w:rsidRDefault="005C2C45" w:rsidP="00991622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</w:tabs>
              <w:ind w:left="47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komandiruočių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į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užsienį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atveju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kelionės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rezultato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pagrindimo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dokumentas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kelionės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ataskaita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asmeninė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arba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bendra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visai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grupei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seminaro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išklausymo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pažymėjimo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kopija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pažymėjimų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suvestinė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seminaro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renginio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programa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dalyvio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pažymėjimas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kt.,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atsižvelgiant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į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kelionės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tikslą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2C45" w:rsidRPr="00691F4F" w:rsidRDefault="005C2C45" w:rsidP="00991622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</w:tabs>
              <w:ind w:left="47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pirkimo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pirkimo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procedūrų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dokumentai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2C45" w:rsidRPr="00691F4F" w:rsidRDefault="005C2C45" w:rsidP="00991622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</w:tabs>
              <w:ind w:left="47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vykstančiųjų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į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užsienį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kelionės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draudimo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dokumentai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vizos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C2C45" w:rsidRPr="00691F4F" w:rsidRDefault="005C2C45" w:rsidP="00991622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</w:tabs>
              <w:ind w:left="47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avanso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apyskaitos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arba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lygiaverčiai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įrodomieji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dokumentai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2C45" w:rsidRPr="00691F4F" w:rsidRDefault="005C2C45" w:rsidP="00991622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</w:tabs>
              <w:ind w:left="47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91F4F">
              <w:rPr>
                <w:rFonts w:ascii="Times New Roman" w:hAnsi="Times New Roman"/>
                <w:sz w:val="24"/>
                <w:szCs w:val="24"/>
              </w:rPr>
              <w:t>sąskaitos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faktūros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lygiaverčiai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įrodomieji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dokumentai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C2C45" w:rsidRPr="00691F4F" w:rsidRDefault="005C2C45" w:rsidP="00991622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</w:tabs>
              <w:ind w:left="47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Papildomai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C2C45" w:rsidRPr="00691F4F" w:rsidRDefault="005C2C45" w:rsidP="00991622">
            <w:pPr>
              <w:pStyle w:val="ListParagraph"/>
              <w:numPr>
                <w:ilvl w:val="1"/>
                <w:numId w:val="3"/>
              </w:num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keliaujant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viešuoju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transportu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kelionės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bilietai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elektroniniai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kelionės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bilietai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C2C45" w:rsidRPr="00691F4F" w:rsidRDefault="005C2C45" w:rsidP="00991622">
            <w:pPr>
              <w:pStyle w:val="ListParagraph"/>
              <w:numPr>
                <w:ilvl w:val="1"/>
                <w:numId w:val="3"/>
              </w:num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keliaujant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automobiliu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automobilio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nuomos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panaudos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sutartis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2C45" w:rsidRPr="00691F4F" w:rsidRDefault="005C2C45" w:rsidP="00991622">
            <w:pPr>
              <w:pStyle w:val="ListParagraph"/>
              <w:numPr>
                <w:ilvl w:val="1"/>
                <w:numId w:val="3"/>
              </w:num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91F4F">
              <w:rPr>
                <w:rFonts w:ascii="Times New Roman" w:hAnsi="Times New Roman"/>
                <w:sz w:val="24"/>
                <w:szCs w:val="24"/>
              </w:rPr>
              <w:t>projekto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vykdytojo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projekto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partnerio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vadovo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įsakymas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potvarkis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dėl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degalų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sąnaudų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normų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patvirtinimo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automobilio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kelionės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lapai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arba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kiti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lygiaverčiai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įrodomieji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dokumentai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pvz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kuro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įsigijimo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čekis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jei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vykstama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nuosavu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automobiliu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</w:tr>
      <w:tr w:rsidR="005C2C45" w:rsidRPr="00691F4F" w:rsidTr="00991622">
        <w:tc>
          <w:tcPr>
            <w:tcW w:w="2943" w:type="dxa"/>
            <w:shd w:val="clear" w:color="auto" w:fill="auto"/>
          </w:tcPr>
          <w:p w:rsidR="005C2C45" w:rsidRPr="007E0563" w:rsidRDefault="005C2C45" w:rsidP="00991622">
            <w:pPr>
              <w:jc w:val="both"/>
              <w:rPr>
                <w:rFonts w:eastAsia="Calibri"/>
                <w:b/>
                <w:bCs/>
                <w:lang w:val="lt-LT" w:eastAsia="lt-LT"/>
              </w:rPr>
            </w:pPr>
            <w:r w:rsidRPr="007E0563">
              <w:rPr>
                <w:rFonts w:eastAsia="Calibri"/>
                <w:b/>
                <w:bCs/>
                <w:lang w:val="lt-LT" w:eastAsia="lt-LT"/>
              </w:rPr>
              <w:t>Nusidėvėjimas (amortizacija)</w:t>
            </w:r>
          </w:p>
        </w:tc>
        <w:tc>
          <w:tcPr>
            <w:tcW w:w="6911" w:type="dxa"/>
            <w:shd w:val="clear" w:color="auto" w:fill="auto"/>
          </w:tcPr>
          <w:p w:rsidR="005C2C45" w:rsidRPr="00691F4F" w:rsidRDefault="005C2C45" w:rsidP="00991622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</w:tabs>
              <w:ind w:left="47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Pažyma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dėl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įgyvendinant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projektą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naudojamo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ilgalaikio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turto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nusidėvėjimo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amortizacijos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sąnaudų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apskaičiavimo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arba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ilgalaikio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turto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apskaitos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dokumentai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C2C45" w:rsidRPr="00691F4F" w:rsidRDefault="005C2C45" w:rsidP="00991622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</w:tabs>
              <w:ind w:left="47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pirmą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kartą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prašant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pripažinti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išlaidas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tinkamomis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finansuoti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C2C45" w:rsidRPr="00691F4F" w:rsidRDefault="005C2C45" w:rsidP="00991622">
            <w:pPr>
              <w:pStyle w:val="ListParagraph"/>
              <w:numPr>
                <w:ilvl w:val="1"/>
                <w:numId w:val="2"/>
              </w:num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projekto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vykdytojo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projekto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partnerio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pažyma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kurioje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nurodoma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iš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kokių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lėšų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buvo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įsigytas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nudėvimas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turtas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įsigijimo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pasigaminimo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savikaina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kuria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turtas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buvo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lastRenderedPageBreak/>
              <w:t>užregistruotas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projekto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vykdytojo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projekto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partnerio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apskaitoje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arba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turto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įsigijimo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dokumentai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C2C45" w:rsidRPr="00691F4F" w:rsidRDefault="005C2C45" w:rsidP="00991622">
            <w:pPr>
              <w:pStyle w:val="ListParagraph"/>
              <w:numPr>
                <w:ilvl w:val="1"/>
                <w:numId w:val="2"/>
              </w:num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turto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atidavimo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eksploatuoti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aktas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2C45" w:rsidRPr="00691F4F" w:rsidRDefault="005C2C45" w:rsidP="00991622">
            <w:pPr>
              <w:pStyle w:val="ListParagraph"/>
              <w:numPr>
                <w:ilvl w:val="1"/>
                <w:numId w:val="2"/>
              </w:num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projekto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vykdytojo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projekto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partnerio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vadovo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įsakymas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dėl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ilgalaikio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turto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priskyrimo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projektui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2C45" w:rsidRPr="00691F4F" w:rsidRDefault="005C2C45" w:rsidP="00991622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</w:tabs>
              <w:ind w:left="47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91F4F">
              <w:rPr>
                <w:rFonts w:ascii="Times New Roman" w:hAnsi="Times New Roman"/>
                <w:sz w:val="24"/>
                <w:szCs w:val="24"/>
              </w:rPr>
              <w:t>projekto</w:t>
            </w:r>
            <w:proofErr w:type="spellEnd"/>
            <w:proofErr w:type="gram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vykdytojo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projekto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partnerio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vadovo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įsakymas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dėl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ilgalaikio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turto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nusidėvėjimo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skaičiavimo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metodikos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turto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priskyrimo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ilgalaikiam</w:t>
            </w:r>
            <w:proofErr w:type="spellEnd"/>
            <w:r w:rsidRPr="0069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F4F">
              <w:rPr>
                <w:rFonts w:ascii="Times New Roman" w:hAnsi="Times New Roman"/>
                <w:sz w:val="24"/>
                <w:szCs w:val="24"/>
              </w:rPr>
              <w:t>turtui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C2C45" w:rsidRDefault="005C2C45" w:rsidP="005C2C45">
      <w:pPr>
        <w:jc w:val="both"/>
        <w:rPr>
          <w:b/>
          <w:lang w:val="lt-LT"/>
        </w:rPr>
      </w:pPr>
    </w:p>
    <w:p w:rsidR="005C2C45" w:rsidRPr="005C2C45" w:rsidRDefault="005C2C45" w:rsidP="005C2C45">
      <w:pPr>
        <w:jc w:val="both"/>
        <w:rPr>
          <w:b/>
          <w:lang w:val="lt-LT"/>
        </w:rPr>
      </w:pPr>
      <w:r w:rsidRPr="005C2C45">
        <w:rPr>
          <w:b/>
          <w:lang w:val="lt-LT"/>
        </w:rPr>
        <w:t>* Dokumentų sąra</w:t>
      </w:r>
      <w:r>
        <w:rPr>
          <w:b/>
          <w:lang w:val="lt-LT"/>
        </w:rPr>
        <w:t>šas nėra baigtinis, CPVA pasilieka teisę p</w:t>
      </w:r>
      <w:r w:rsidRPr="005C2C45">
        <w:rPr>
          <w:b/>
          <w:lang w:val="lt-LT"/>
        </w:rPr>
        <w:t>aprašyti ir kitų, šiame sąraše nenurodytų, išlaidas pagrindžiančių dokumentų</w:t>
      </w:r>
    </w:p>
    <w:sectPr w:rsidR="005C2C45" w:rsidRPr="005C2C45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119D8"/>
    <w:multiLevelType w:val="hybridMultilevel"/>
    <w:tmpl w:val="4F66767C"/>
    <w:lvl w:ilvl="0" w:tplc="042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9E8E28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2038A6"/>
    <w:multiLevelType w:val="hybridMultilevel"/>
    <w:tmpl w:val="FC1A0152"/>
    <w:lvl w:ilvl="0" w:tplc="042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9E8E28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785E71"/>
    <w:multiLevelType w:val="hybridMultilevel"/>
    <w:tmpl w:val="49CCA5F6"/>
    <w:lvl w:ilvl="0" w:tplc="042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D6"/>
    <w:rsid w:val="005C2C45"/>
    <w:rsid w:val="007216D6"/>
    <w:rsid w:val="00A7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260EC"/>
  <w15:chartTrackingRefBased/>
  <w15:docId w15:val="{09CB063D-7A2D-4CEC-AD52-F6E55652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C2C45"/>
    <w:pPr>
      <w:spacing w:after="0" w:line="240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Uleckienė</dc:creator>
  <cp:keywords/>
  <dc:description/>
  <cp:lastModifiedBy>Eglė Uleckienė</cp:lastModifiedBy>
  <cp:revision>1</cp:revision>
  <dcterms:created xsi:type="dcterms:W3CDTF">2018-05-02T06:59:00Z</dcterms:created>
  <dcterms:modified xsi:type="dcterms:W3CDTF">2018-05-02T07:27:00Z</dcterms:modified>
</cp:coreProperties>
</file>