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C68" w:rsidRPr="009604D7" w:rsidRDefault="00CC3C68" w:rsidP="00CC3C68">
      <w:pPr>
        <w:pStyle w:val="Heading1"/>
        <w:keepNext w:val="0"/>
        <w:spacing w:after="240"/>
        <w:jc w:val="center"/>
        <w:rPr>
          <w:rFonts w:ascii="Times New Roman" w:hAnsi="Times New Roman" w:cs="Times New Roman"/>
          <w:sz w:val="24"/>
          <w:szCs w:val="24"/>
          <w:lang w:val="en-US"/>
        </w:rPr>
      </w:pPr>
      <w:bookmarkStart w:id="0" w:name="_Toc244399545"/>
    </w:p>
    <w:p w:rsidR="00CC3C68" w:rsidRDefault="00CC3C68" w:rsidP="00CC3C68">
      <w:pPr>
        <w:pStyle w:val="Heading1"/>
        <w:keepNext w:val="0"/>
        <w:spacing w:after="240"/>
        <w:jc w:val="center"/>
        <w:rPr>
          <w:rFonts w:ascii="Times New Roman" w:hAnsi="Times New Roman" w:cs="Times New Roman"/>
          <w:sz w:val="24"/>
          <w:szCs w:val="24"/>
        </w:rPr>
      </w:pPr>
      <w:r>
        <w:rPr>
          <w:rFonts w:ascii="Times New Roman" w:hAnsi="Times New Roman" w:cs="Times New Roman"/>
          <w:sz w:val="24"/>
          <w:szCs w:val="24"/>
        </w:rPr>
        <w:t xml:space="preserve">VIEŠOSIOS ĮSTAIGOS CENTRINĖS PROJEKTŲ VALDYMO AGENTŪROS TEISĖS AKTŲ PROJEKTŲ ANTIKORUPCINIO VERTINIMO TVARKOS APRAŠAS </w:t>
      </w:r>
    </w:p>
    <w:p w:rsidR="00CC3C68" w:rsidRPr="002E4C16" w:rsidRDefault="00CC3C68" w:rsidP="00CC3C68">
      <w:pPr>
        <w:pStyle w:val="Heading2"/>
        <w:spacing w:after="240"/>
        <w:rPr>
          <w:rFonts w:ascii="Times New Roman" w:hAnsi="Times New Roman"/>
          <w:i w:val="0"/>
          <w:sz w:val="24"/>
          <w:szCs w:val="24"/>
        </w:rPr>
      </w:pPr>
      <w:r>
        <w:rPr>
          <w:rFonts w:ascii="Times New Roman" w:hAnsi="Times New Roman"/>
          <w:i w:val="0"/>
          <w:sz w:val="24"/>
          <w:szCs w:val="24"/>
        </w:rPr>
        <w:t>I. Aprašo</w:t>
      </w:r>
      <w:r w:rsidRPr="003B03F9">
        <w:rPr>
          <w:rFonts w:ascii="Times New Roman" w:hAnsi="Times New Roman"/>
          <w:i w:val="0"/>
          <w:sz w:val="24"/>
          <w:szCs w:val="24"/>
        </w:rPr>
        <w:t xml:space="preserve"> paskirtis ir taikymo sritis</w:t>
      </w:r>
    </w:p>
    <w:p w:rsidR="00CC3C68" w:rsidRDefault="00CC3C68" w:rsidP="00CC3C68">
      <w:pPr>
        <w:numPr>
          <w:ilvl w:val="0"/>
          <w:numId w:val="1"/>
        </w:numPr>
        <w:tabs>
          <w:tab w:val="num" w:pos="1260"/>
        </w:tabs>
        <w:ind w:left="0" w:firstLine="900"/>
        <w:jc w:val="both"/>
      </w:pPr>
      <w:r>
        <w:t>Viešosios įstaigos Centrinės projektų valdymo agentūros (toliau – CPVA</w:t>
      </w:r>
      <w:r w:rsidRPr="002E4C16">
        <w:t>) teisės aktų projektų antikorupci</w:t>
      </w:r>
      <w:r>
        <w:t xml:space="preserve">nio vertinimo </w:t>
      </w:r>
      <w:r w:rsidRPr="002E4C16">
        <w:t>tvarkos aprašas (toliau - Aprašas) parengtas vadovaujantis Lietuvos Respublikos korupcijos prevencijos įstatymo 5 straipsnio 3 dalimi ir 8 straipsniu</w:t>
      </w:r>
      <w:r>
        <w:t xml:space="preserve"> (toliau – KP)</w:t>
      </w:r>
      <w:r w:rsidRPr="002E4C16">
        <w:t>, Lietuvos Respublikos Seimo nacionaline kovos su korupcija 2015-2025 metų programa, patvirtinta Lietuvos Respublikos Seimo 2015 m. kovo 25 d. nutarimu Nr. XII-1537, Teisės aktų projektų antikorupcinio vertinimo taisyklėmis, patvirtintomis Lietuvos Respublikos Vyriausybės 2014 m. kovo 12 d. nutarimu Nr. 243 „Dėl Teisės aktų projektų antikorupcinio vertinimo taisyklių patvirtinimo</w:t>
      </w:r>
      <w:r>
        <w:t xml:space="preserve">“ (toliau </w:t>
      </w:r>
      <w:r w:rsidRPr="008D7F77">
        <w:t>– Teisės aktų projektų antikorupcinio vertinimo taisyklės</w:t>
      </w:r>
      <w:r>
        <w:t>).</w:t>
      </w:r>
    </w:p>
    <w:p w:rsidR="00CC3C68" w:rsidRPr="003B03F9" w:rsidRDefault="00CC3C68" w:rsidP="00CC3C68">
      <w:pPr>
        <w:numPr>
          <w:ilvl w:val="0"/>
          <w:numId w:val="1"/>
        </w:numPr>
        <w:tabs>
          <w:tab w:val="num" w:pos="1260"/>
        </w:tabs>
        <w:ind w:left="0" w:firstLine="900"/>
        <w:jc w:val="both"/>
      </w:pPr>
      <w:r w:rsidRPr="003B03F9">
        <w:t>Š</w:t>
      </w:r>
      <w:r>
        <w:t>is Aprašas</w:t>
      </w:r>
      <w:r w:rsidRPr="003B03F9">
        <w:t xml:space="preserve"> nustato </w:t>
      </w:r>
      <w:r>
        <w:t>CPVA</w:t>
      </w:r>
      <w:r w:rsidRPr="003B03F9">
        <w:t xml:space="preserve"> rengiamų teisės aktų projektų </w:t>
      </w:r>
      <w:r>
        <w:t xml:space="preserve">antikorupcinio vertinimo tvarką, </w:t>
      </w:r>
      <w:r w:rsidRPr="006E47D2">
        <w:t>siekiant nustatyti, kokią įtaką teisės aktas gali turėti korupcijai ar jos mastui, sudaryti prielaidas korupciniams santykiams atsirasti ir korupcinio pobūdžio nusikalstamų veikų padarymui</w:t>
      </w:r>
      <w:r>
        <w:t xml:space="preserve">, </w:t>
      </w:r>
      <w:r w:rsidRPr="006E47D2">
        <w:t>administruojant nacionalines ir Europos Sąjungos (toliau - ES) paramos</w:t>
      </w:r>
      <w:r>
        <w:t>, tarptautinių institucijų ir kitas</w:t>
      </w:r>
      <w:r w:rsidRPr="006E47D2">
        <w:t xml:space="preserve"> lėšas</w:t>
      </w:r>
      <w:r>
        <w:t xml:space="preserve">.  </w:t>
      </w:r>
    </w:p>
    <w:p w:rsidR="00CC3C68" w:rsidRPr="003B03F9" w:rsidRDefault="00CC3C68" w:rsidP="00CC3C68">
      <w:pPr>
        <w:numPr>
          <w:ilvl w:val="0"/>
          <w:numId w:val="1"/>
        </w:numPr>
        <w:tabs>
          <w:tab w:val="num" w:pos="1260"/>
        </w:tabs>
        <w:ind w:left="0" w:firstLine="900"/>
        <w:jc w:val="both"/>
      </w:pPr>
      <w:r>
        <w:t>Šiame Apraše</w:t>
      </w:r>
      <w:r w:rsidRPr="003B03F9">
        <w:t xml:space="preserve"> išdėstytomis nuostatomis privalo vadovautis visi </w:t>
      </w:r>
      <w:r>
        <w:t xml:space="preserve">CPVA </w:t>
      </w:r>
      <w:r w:rsidRPr="003B03F9">
        <w:t>darbuotojai, rengiantys teisės aktų projektus</w:t>
      </w:r>
      <w:r>
        <w:t>, atliekantys antikorupcinį vertinimą.</w:t>
      </w:r>
      <w:r w:rsidRPr="003B03F9">
        <w:t xml:space="preserve"> Teisės aktų projektų rengimas apima ir jų keitimą. </w:t>
      </w:r>
    </w:p>
    <w:p w:rsidR="00CC3C68" w:rsidRPr="003B03F9" w:rsidRDefault="00CC3C68" w:rsidP="00CC3C68">
      <w:pPr>
        <w:numPr>
          <w:ilvl w:val="0"/>
          <w:numId w:val="1"/>
        </w:numPr>
        <w:tabs>
          <w:tab w:val="num" w:pos="1260"/>
        </w:tabs>
        <w:ind w:left="0" w:firstLine="900"/>
        <w:jc w:val="both"/>
      </w:pPr>
      <w:r>
        <w:t>Apraše</w:t>
      </w:r>
      <w:r w:rsidRPr="003B03F9">
        <w:t xml:space="preserve"> vartojamos sąvokos:</w:t>
      </w:r>
    </w:p>
    <w:p w:rsidR="00CC3C68" w:rsidRDefault="00CC3C68" w:rsidP="00CC3C68">
      <w:pPr>
        <w:pStyle w:val="ListParagraph"/>
        <w:numPr>
          <w:ilvl w:val="1"/>
          <w:numId w:val="1"/>
        </w:numPr>
        <w:tabs>
          <w:tab w:val="clear" w:pos="1778"/>
          <w:tab w:val="left" w:pos="851"/>
          <w:tab w:val="left" w:pos="1276"/>
        </w:tabs>
        <w:ind w:left="0" w:firstLine="851"/>
        <w:jc w:val="both"/>
        <w:rPr>
          <w:rFonts w:ascii="Times New Roman" w:hAnsi="Times New Roman" w:cs="Times New Roman"/>
          <w:sz w:val="24"/>
          <w:szCs w:val="24"/>
        </w:rPr>
      </w:pPr>
      <w:r w:rsidRPr="003360BC">
        <w:rPr>
          <w:rFonts w:ascii="Times New Roman" w:hAnsi="Times New Roman" w:cs="Times New Roman"/>
          <w:b/>
          <w:sz w:val="24"/>
          <w:szCs w:val="24"/>
        </w:rPr>
        <w:t>Teisės akto projektai</w:t>
      </w:r>
      <w:r w:rsidRPr="003360BC">
        <w:rPr>
          <w:rFonts w:ascii="Times New Roman" w:hAnsi="Times New Roman" w:cs="Times New Roman"/>
          <w:sz w:val="24"/>
          <w:szCs w:val="24"/>
        </w:rPr>
        <w:t xml:space="preserve"> - rengiami </w:t>
      </w:r>
      <w:r w:rsidRPr="00C7543E">
        <w:rPr>
          <w:rFonts w:ascii="Times New Roman" w:hAnsi="Times New Roman" w:cs="Times New Roman"/>
          <w:sz w:val="24"/>
          <w:szCs w:val="24"/>
        </w:rPr>
        <w:t>ir (ar) derinami</w:t>
      </w:r>
      <w:r w:rsidRPr="003360BC">
        <w:rPr>
          <w:rFonts w:ascii="Times New Roman" w:hAnsi="Times New Roman" w:cs="Times New Roman"/>
          <w:sz w:val="24"/>
          <w:szCs w:val="24"/>
        </w:rPr>
        <w:t xml:space="preserve"> </w:t>
      </w:r>
      <w:r>
        <w:rPr>
          <w:rFonts w:ascii="Times New Roman" w:hAnsi="Times New Roman" w:cs="Times New Roman"/>
          <w:sz w:val="24"/>
          <w:szCs w:val="24"/>
        </w:rPr>
        <w:t xml:space="preserve">CPVA įsakymai, potvarkiai, nurodymai </w:t>
      </w:r>
      <w:r w:rsidRPr="003360BC">
        <w:rPr>
          <w:rFonts w:ascii="Times New Roman" w:hAnsi="Times New Roman" w:cs="Times New Roman"/>
          <w:sz w:val="24"/>
          <w:szCs w:val="24"/>
        </w:rPr>
        <w:t xml:space="preserve">ir jais tvirtinamos </w:t>
      </w:r>
      <w:r>
        <w:rPr>
          <w:rFonts w:ascii="Times New Roman" w:hAnsi="Times New Roman" w:cs="Times New Roman"/>
          <w:sz w:val="24"/>
          <w:szCs w:val="24"/>
        </w:rPr>
        <w:t>procedūros,</w:t>
      </w:r>
      <w:r w:rsidRPr="003360BC">
        <w:rPr>
          <w:rFonts w:ascii="Times New Roman" w:hAnsi="Times New Roman" w:cs="Times New Roman"/>
          <w:sz w:val="24"/>
          <w:szCs w:val="24"/>
        </w:rPr>
        <w:t xml:space="preserve"> taisyklės,</w:t>
      </w:r>
      <w:r>
        <w:rPr>
          <w:rFonts w:ascii="Times New Roman" w:hAnsi="Times New Roman" w:cs="Times New Roman"/>
          <w:sz w:val="24"/>
          <w:szCs w:val="24"/>
        </w:rPr>
        <w:t xml:space="preserve"> tvarkos, instrukcijos,</w:t>
      </w:r>
      <w:r w:rsidRPr="003360BC">
        <w:rPr>
          <w:rFonts w:ascii="Times New Roman" w:hAnsi="Times New Roman" w:cs="Times New Roman"/>
          <w:sz w:val="24"/>
          <w:szCs w:val="24"/>
        </w:rPr>
        <w:t xml:space="preserve"> metodikos, programos, tvarkų aprašai ir kiti dokumentai.</w:t>
      </w:r>
    </w:p>
    <w:p w:rsidR="00CC3C68" w:rsidRDefault="00CC3C68" w:rsidP="00CC3C68">
      <w:pPr>
        <w:pStyle w:val="ListParagraph"/>
        <w:numPr>
          <w:ilvl w:val="1"/>
          <w:numId w:val="1"/>
        </w:numPr>
        <w:tabs>
          <w:tab w:val="clear" w:pos="1778"/>
          <w:tab w:val="left" w:pos="851"/>
          <w:tab w:val="left" w:pos="1276"/>
        </w:tabs>
        <w:ind w:left="0" w:firstLine="851"/>
        <w:jc w:val="both"/>
        <w:rPr>
          <w:rFonts w:ascii="Times New Roman" w:hAnsi="Times New Roman" w:cs="Times New Roman"/>
          <w:sz w:val="24"/>
          <w:szCs w:val="24"/>
        </w:rPr>
      </w:pPr>
      <w:r w:rsidRPr="00416E83">
        <w:rPr>
          <w:rFonts w:ascii="Times New Roman" w:hAnsi="Times New Roman" w:cs="Times New Roman"/>
          <w:b/>
          <w:sz w:val="24"/>
          <w:szCs w:val="24"/>
        </w:rPr>
        <w:t>Korupcijos pasireiškimo rizikos valdymas</w:t>
      </w:r>
      <w:r w:rsidRPr="00416E83">
        <w:rPr>
          <w:rFonts w:ascii="Times New Roman" w:hAnsi="Times New Roman" w:cs="Times New Roman"/>
          <w:sz w:val="24"/>
          <w:szCs w:val="24"/>
        </w:rPr>
        <w:t xml:space="preserve"> - rizikos valdymo proceso dalis, kurio metu nustatoma korupcijos pasireiškimo rizika ir priimami sprendimai dėl jos įtakos sumažinimo arba panaikinimo.</w:t>
      </w:r>
    </w:p>
    <w:p w:rsidR="00CC3C68" w:rsidRPr="00A20F02" w:rsidRDefault="00CC3C68" w:rsidP="00CC3C68">
      <w:pPr>
        <w:pStyle w:val="ListParagraph"/>
        <w:numPr>
          <w:ilvl w:val="1"/>
          <w:numId w:val="1"/>
        </w:numPr>
        <w:tabs>
          <w:tab w:val="clear" w:pos="1778"/>
          <w:tab w:val="left" w:pos="851"/>
          <w:tab w:val="left" w:pos="1276"/>
        </w:tabs>
        <w:ind w:left="0" w:firstLine="851"/>
        <w:jc w:val="both"/>
        <w:rPr>
          <w:rFonts w:ascii="Times New Roman" w:hAnsi="Times New Roman" w:cs="Times New Roman"/>
          <w:sz w:val="24"/>
          <w:szCs w:val="24"/>
        </w:rPr>
      </w:pPr>
      <w:r w:rsidRPr="00A20F02">
        <w:rPr>
          <w:rFonts w:ascii="Times New Roman" w:hAnsi="Times New Roman" w:cs="Times New Roman"/>
          <w:b/>
          <w:sz w:val="24"/>
          <w:szCs w:val="24"/>
        </w:rPr>
        <w:t>Teisės aktų projektų antikorupcinis vertinimas</w:t>
      </w:r>
      <w:r w:rsidRPr="00A20F02">
        <w:rPr>
          <w:rFonts w:ascii="Times New Roman" w:hAnsi="Times New Roman" w:cs="Times New Roman"/>
          <w:sz w:val="24"/>
          <w:szCs w:val="24"/>
        </w:rPr>
        <w:t xml:space="preserve"> – teisės aktų projektų vertinimas, siekiant nustatyti jais numatomo teisinio reguliavimo trūkumus, dėl kurių gali susidaryti sąlygos korupcijai pasireikšti, administruojant nacionalines ir ES paramos</w:t>
      </w:r>
      <w:r>
        <w:rPr>
          <w:rFonts w:ascii="Times New Roman" w:hAnsi="Times New Roman" w:cs="Times New Roman"/>
          <w:sz w:val="24"/>
          <w:szCs w:val="24"/>
        </w:rPr>
        <w:t>, tarptautinių institucijų ir kitas</w:t>
      </w:r>
      <w:r w:rsidRPr="00A20F02">
        <w:rPr>
          <w:rFonts w:ascii="Times New Roman" w:hAnsi="Times New Roman" w:cs="Times New Roman"/>
          <w:sz w:val="24"/>
          <w:szCs w:val="24"/>
        </w:rPr>
        <w:t xml:space="preserve"> lėšas, taip pat pasielgti nesąžiningai, neteisingai, neskaidriai, neobjektyviai.</w:t>
      </w:r>
    </w:p>
    <w:p w:rsidR="00CC3C68" w:rsidRDefault="00CC3C68" w:rsidP="00CC3C68">
      <w:pPr>
        <w:pStyle w:val="ListParagraph"/>
        <w:numPr>
          <w:ilvl w:val="1"/>
          <w:numId w:val="1"/>
        </w:numPr>
        <w:tabs>
          <w:tab w:val="clear" w:pos="1778"/>
          <w:tab w:val="left" w:pos="851"/>
          <w:tab w:val="left" w:pos="1276"/>
        </w:tabs>
        <w:ind w:left="0" w:firstLine="851"/>
        <w:jc w:val="both"/>
        <w:rPr>
          <w:rFonts w:ascii="Times New Roman" w:hAnsi="Times New Roman" w:cs="Times New Roman"/>
          <w:sz w:val="24"/>
          <w:szCs w:val="24"/>
        </w:rPr>
      </w:pPr>
      <w:r w:rsidRPr="003360BC">
        <w:rPr>
          <w:rFonts w:ascii="Times New Roman" w:hAnsi="Times New Roman" w:cs="Times New Roman"/>
          <w:b/>
          <w:sz w:val="24"/>
          <w:szCs w:val="24"/>
        </w:rPr>
        <w:t xml:space="preserve">Teisės akto projekto </w:t>
      </w:r>
      <w:r>
        <w:rPr>
          <w:rFonts w:ascii="Times New Roman" w:hAnsi="Times New Roman" w:cs="Times New Roman"/>
          <w:b/>
          <w:sz w:val="24"/>
          <w:szCs w:val="24"/>
        </w:rPr>
        <w:t xml:space="preserve">tiesioginis </w:t>
      </w:r>
      <w:r w:rsidRPr="003360BC">
        <w:rPr>
          <w:rFonts w:ascii="Times New Roman" w:hAnsi="Times New Roman" w:cs="Times New Roman"/>
          <w:b/>
          <w:sz w:val="24"/>
          <w:szCs w:val="24"/>
        </w:rPr>
        <w:t>rengėjas</w:t>
      </w:r>
      <w:r w:rsidRPr="003360BC">
        <w:rPr>
          <w:rFonts w:ascii="Times New Roman" w:hAnsi="Times New Roman" w:cs="Times New Roman"/>
          <w:sz w:val="24"/>
          <w:szCs w:val="24"/>
        </w:rPr>
        <w:t xml:space="preserve"> – teisės akto projekt</w:t>
      </w:r>
      <w:r>
        <w:rPr>
          <w:rFonts w:ascii="Times New Roman" w:hAnsi="Times New Roman" w:cs="Times New Roman"/>
          <w:sz w:val="24"/>
          <w:szCs w:val="24"/>
        </w:rPr>
        <w:t xml:space="preserve">ą  parengęs </w:t>
      </w:r>
      <w:r w:rsidRPr="003360BC">
        <w:rPr>
          <w:rFonts w:ascii="Times New Roman" w:hAnsi="Times New Roman" w:cs="Times New Roman"/>
          <w:sz w:val="24"/>
          <w:szCs w:val="24"/>
        </w:rPr>
        <w:t xml:space="preserve">darbuotojas, darbuotojai ar darbo grupė. </w:t>
      </w:r>
    </w:p>
    <w:p w:rsidR="00CC3C68" w:rsidRPr="0033204E" w:rsidRDefault="00CC3C68" w:rsidP="00CC3C68">
      <w:pPr>
        <w:pStyle w:val="ListParagraph"/>
        <w:numPr>
          <w:ilvl w:val="1"/>
          <w:numId w:val="1"/>
        </w:numPr>
        <w:tabs>
          <w:tab w:val="clear" w:pos="1778"/>
          <w:tab w:val="left" w:pos="851"/>
          <w:tab w:val="left" w:pos="1276"/>
        </w:tabs>
        <w:ind w:left="0" w:firstLine="851"/>
        <w:jc w:val="both"/>
        <w:rPr>
          <w:rFonts w:ascii="Times New Roman" w:hAnsi="Times New Roman" w:cs="Times New Roman"/>
          <w:sz w:val="24"/>
          <w:szCs w:val="24"/>
        </w:rPr>
      </w:pPr>
      <w:r w:rsidRPr="0033204E">
        <w:rPr>
          <w:rFonts w:ascii="Times New Roman" w:hAnsi="Times New Roman" w:cs="Times New Roman"/>
          <w:b/>
          <w:sz w:val="24"/>
          <w:szCs w:val="24"/>
        </w:rPr>
        <w:t xml:space="preserve">Teisės akto projekto vertintojas antikorupciniu požiūriu </w:t>
      </w:r>
      <w:r w:rsidRPr="0033204E">
        <w:rPr>
          <w:rFonts w:ascii="Times New Roman" w:hAnsi="Times New Roman" w:cs="Times New Roman"/>
          <w:sz w:val="24"/>
          <w:szCs w:val="24"/>
        </w:rPr>
        <w:t xml:space="preserve">– CPVA darbuotojas, darbuotojai, darbo grupė, padalinys (toliau – vertintojas), kuriam CPVA vadovo ar jo įgalioto asmens yra pavesta vykdyti teisės aktų projektų antikorupcinį vertinimą. </w:t>
      </w:r>
    </w:p>
    <w:p w:rsidR="00CC3C68" w:rsidRPr="006C573F" w:rsidRDefault="00CC3C68" w:rsidP="00CC3C68">
      <w:pPr>
        <w:pStyle w:val="Heading2"/>
        <w:spacing w:after="240"/>
        <w:rPr>
          <w:rFonts w:ascii="Times New Roman" w:hAnsi="Times New Roman"/>
          <w:i w:val="0"/>
          <w:sz w:val="24"/>
          <w:szCs w:val="24"/>
        </w:rPr>
      </w:pPr>
      <w:r>
        <w:rPr>
          <w:rFonts w:ascii="Times New Roman" w:hAnsi="Times New Roman"/>
          <w:i w:val="0"/>
          <w:sz w:val="24"/>
          <w:szCs w:val="24"/>
        </w:rPr>
        <w:t xml:space="preserve">II. </w:t>
      </w:r>
      <w:r w:rsidRPr="003B03F9">
        <w:rPr>
          <w:rFonts w:ascii="Times New Roman" w:hAnsi="Times New Roman"/>
          <w:i w:val="0"/>
          <w:sz w:val="24"/>
          <w:szCs w:val="24"/>
        </w:rPr>
        <w:t>Sutrumpinimai</w:t>
      </w:r>
    </w:p>
    <w:p w:rsidR="00CC3C68" w:rsidRPr="003B03F9" w:rsidRDefault="00CC3C68" w:rsidP="00CC3C68">
      <w:pPr>
        <w:numPr>
          <w:ilvl w:val="0"/>
          <w:numId w:val="1"/>
        </w:numPr>
        <w:tabs>
          <w:tab w:val="num" w:pos="1260"/>
        </w:tabs>
        <w:spacing w:after="200"/>
        <w:ind w:left="0" w:firstLine="900"/>
        <w:jc w:val="both"/>
      </w:pPr>
      <w:r w:rsidRPr="003B03F9">
        <w:t>Lentelė</w:t>
      </w:r>
      <w:r>
        <w:t xml:space="preserve">je pateikiami šioje Apraše </w:t>
      </w:r>
      <w:r w:rsidRPr="003B03F9">
        <w:t>vartojami sutrumpinimai, reiškiantys:</w:t>
      </w:r>
    </w:p>
    <w:tbl>
      <w:tblPr>
        <w:tblW w:w="9488"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Look w:val="01E0" w:firstRow="1" w:lastRow="1" w:firstColumn="1" w:lastColumn="1" w:noHBand="0" w:noVBand="0"/>
      </w:tblPr>
      <w:tblGrid>
        <w:gridCol w:w="699"/>
        <w:gridCol w:w="3544"/>
        <w:gridCol w:w="5245"/>
      </w:tblGrid>
      <w:tr w:rsidR="00CC3C68" w:rsidRPr="003B03F9" w:rsidTr="00691125">
        <w:tc>
          <w:tcPr>
            <w:tcW w:w="699" w:type="dxa"/>
            <w:shd w:val="clear" w:color="auto" w:fill="4472C4" w:themeFill="accent1"/>
            <w:vAlign w:val="center"/>
          </w:tcPr>
          <w:p w:rsidR="00CC3C68" w:rsidRPr="003B03F9" w:rsidRDefault="00CC3C68" w:rsidP="00691125">
            <w:pPr>
              <w:rPr>
                <w:b/>
                <w:color w:val="FFFFFF" w:themeColor="background1"/>
              </w:rPr>
            </w:pPr>
            <w:r w:rsidRPr="003B03F9">
              <w:rPr>
                <w:b/>
                <w:color w:val="FFFFFF" w:themeColor="background1"/>
              </w:rPr>
              <w:t>Eil.</w:t>
            </w:r>
            <w:r w:rsidRPr="003B03F9">
              <w:rPr>
                <w:b/>
                <w:color w:val="FFFFFF" w:themeColor="background1"/>
              </w:rPr>
              <w:br/>
              <w:t>Nr.</w:t>
            </w:r>
          </w:p>
        </w:tc>
        <w:tc>
          <w:tcPr>
            <w:tcW w:w="3544" w:type="dxa"/>
            <w:shd w:val="clear" w:color="auto" w:fill="4472C4" w:themeFill="accent1"/>
            <w:vAlign w:val="center"/>
          </w:tcPr>
          <w:p w:rsidR="00CC3C68" w:rsidRPr="003B03F9" w:rsidRDefault="00CC3C68" w:rsidP="00691125">
            <w:pPr>
              <w:jc w:val="center"/>
              <w:rPr>
                <w:b/>
                <w:color w:val="FFFFFF" w:themeColor="background1"/>
              </w:rPr>
            </w:pPr>
            <w:r w:rsidRPr="003B03F9">
              <w:rPr>
                <w:b/>
                <w:color w:val="FFFFFF" w:themeColor="background1"/>
              </w:rPr>
              <w:t>Sutrumpinimas (terminas)</w:t>
            </w:r>
          </w:p>
        </w:tc>
        <w:tc>
          <w:tcPr>
            <w:tcW w:w="5245" w:type="dxa"/>
            <w:shd w:val="clear" w:color="auto" w:fill="4472C4" w:themeFill="accent1"/>
            <w:vAlign w:val="center"/>
          </w:tcPr>
          <w:p w:rsidR="00CC3C68" w:rsidRPr="003B03F9" w:rsidRDefault="00CC3C68" w:rsidP="00691125">
            <w:pPr>
              <w:jc w:val="center"/>
              <w:rPr>
                <w:b/>
                <w:color w:val="FFFFFF" w:themeColor="background1"/>
              </w:rPr>
            </w:pPr>
            <w:r w:rsidRPr="003B03F9">
              <w:rPr>
                <w:b/>
                <w:color w:val="FFFFFF" w:themeColor="background1"/>
              </w:rPr>
              <w:t>Reikšmė</w:t>
            </w:r>
          </w:p>
        </w:tc>
      </w:tr>
      <w:tr w:rsidR="00CC3C68" w:rsidRPr="003B03F9" w:rsidTr="00691125">
        <w:tc>
          <w:tcPr>
            <w:tcW w:w="699" w:type="dxa"/>
            <w:vAlign w:val="center"/>
          </w:tcPr>
          <w:p w:rsidR="00CC3C68" w:rsidRPr="003B03F9" w:rsidRDefault="00CC3C68" w:rsidP="00691125">
            <w:pPr>
              <w:numPr>
                <w:ilvl w:val="1"/>
                <w:numId w:val="1"/>
              </w:numPr>
              <w:ind w:hanging="1614"/>
            </w:pPr>
          </w:p>
        </w:tc>
        <w:tc>
          <w:tcPr>
            <w:tcW w:w="3544" w:type="dxa"/>
            <w:shd w:val="clear" w:color="auto" w:fill="auto"/>
            <w:vAlign w:val="center"/>
          </w:tcPr>
          <w:p w:rsidR="00CC3C68" w:rsidRPr="003B03F9" w:rsidRDefault="00CC3C68" w:rsidP="00691125">
            <w:r w:rsidRPr="003B03F9">
              <w:t>CPVA</w:t>
            </w:r>
          </w:p>
        </w:tc>
        <w:tc>
          <w:tcPr>
            <w:tcW w:w="5245" w:type="dxa"/>
            <w:shd w:val="clear" w:color="auto" w:fill="auto"/>
            <w:vAlign w:val="center"/>
          </w:tcPr>
          <w:p w:rsidR="00CC3C68" w:rsidRPr="003B03F9" w:rsidRDefault="00CC3C68" w:rsidP="00691125">
            <w:r w:rsidRPr="003B03F9">
              <w:t>Viešoji įstaiga Centrinė projektų valdymo agentūra</w:t>
            </w:r>
          </w:p>
        </w:tc>
      </w:tr>
      <w:tr w:rsidR="00CC3C68" w:rsidRPr="003B03F9" w:rsidTr="00691125">
        <w:tc>
          <w:tcPr>
            <w:tcW w:w="699" w:type="dxa"/>
            <w:vAlign w:val="center"/>
          </w:tcPr>
          <w:p w:rsidR="00CC3C68" w:rsidRPr="003B03F9" w:rsidRDefault="00CC3C68" w:rsidP="00691125">
            <w:pPr>
              <w:numPr>
                <w:ilvl w:val="1"/>
                <w:numId w:val="1"/>
              </w:numPr>
              <w:ind w:hanging="1614"/>
            </w:pPr>
          </w:p>
        </w:tc>
        <w:tc>
          <w:tcPr>
            <w:tcW w:w="3544" w:type="dxa"/>
            <w:shd w:val="clear" w:color="auto" w:fill="auto"/>
            <w:vAlign w:val="center"/>
          </w:tcPr>
          <w:p w:rsidR="00CC3C68" w:rsidRPr="003B03F9" w:rsidRDefault="00CC3C68" w:rsidP="00691125">
            <w:r w:rsidRPr="003B03F9">
              <w:t>CPVA D</w:t>
            </w:r>
          </w:p>
        </w:tc>
        <w:tc>
          <w:tcPr>
            <w:tcW w:w="5245" w:type="dxa"/>
            <w:shd w:val="clear" w:color="auto" w:fill="auto"/>
            <w:vAlign w:val="center"/>
          </w:tcPr>
          <w:p w:rsidR="00CC3C68" w:rsidRPr="003B03F9" w:rsidRDefault="00CC3C68" w:rsidP="00691125">
            <w:r w:rsidRPr="003B03F9">
              <w:t>CPVA direktorius</w:t>
            </w:r>
          </w:p>
        </w:tc>
      </w:tr>
      <w:tr w:rsidR="00CC3C68" w:rsidRPr="003B03F9" w:rsidTr="00691125">
        <w:tc>
          <w:tcPr>
            <w:tcW w:w="699" w:type="dxa"/>
            <w:vAlign w:val="center"/>
          </w:tcPr>
          <w:p w:rsidR="00CC3C68" w:rsidRPr="003B03F9" w:rsidRDefault="00CC3C68" w:rsidP="00691125">
            <w:pPr>
              <w:numPr>
                <w:ilvl w:val="1"/>
                <w:numId w:val="1"/>
              </w:numPr>
              <w:ind w:hanging="1614"/>
            </w:pPr>
          </w:p>
        </w:tc>
        <w:tc>
          <w:tcPr>
            <w:tcW w:w="3544" w:type="dxa"/>
            <w:shd w:val="clear" w:color="auto" w:fill="auto"/>
            <w:vAlign w:val="center"/>
          </w:tcPr>
          <w:p w:rsidR="00CC3C68" w:rsidRPr="003B03F9" w:rsidRDefault="00CC3C68" w:rsidP="00691125">
            <w:r>
              <w:t>CPVA DP</w:t>
            </w:r>
          </w:p>
        </w:tc>
        <w:tc>
          <w:tcPr>
            <w:tcW w:w="5245" w:type="dxa"/>
            <w:shd w:val="clear" w:color="auto" w:fill="auto"/>
            <w:vAlign w:val="center"/>
          </w:tcPr>
          <w:p w:rsidR="00CC3C68" w:rsidRPr="003B03F9" w:rsidRDefault="00CC3C68" w:rsidP="00691125">
            <w:r>
              <w:t>CPVA direktoriaus pavaduotojas</w:t>
            </w:r>
          </w:p>
        </w:tc>
      </w:tr>
      <w:tr w:rsidR="00CC3C68" w:rsidRPr="003B03F9" w:rsidTr="00691125">
        <w:tc>
          <w:tcPr>
            <w:tcW w:w="699" w:type="dxa"/>
            <w:vAlign w:val="center"/>
          </w:tcPr>
          <w:p w:rsidR="00CC3C68" w:rsidRPr="003B03F9" w:rsidRDefault="00CC3C68" w:rsidP="00691125">
            <w:pPr>
              <w:numPr>
                <w:ilvl w:val="1"/>
                <w:numId w:val="1"/>
              </w:numPr>
              <w:tabs>
                <w:tab w:val="left" w:pos="164"/>
              </w:tabs>
              <w:ind w:hanging="1614"/>
            </w:pPr>
          </w:p>
        </w:tc>
        <w:tc>
          <w:tcPr>
            <w:tcW w:w="3544" w:type="dxa"/>
            <w:shd w:val="clear" w:color="auto" w:fill="auto"/>
            <w:vAlign w:val="center"/>
          </w:tcPr>
          <w:p w:rsidR="00CC3C68" w:rsidRPr="003B03F9" w:rsidRDefault="00CC3C68" w:rsidP="00691125">
            <w:r>
              <w:t>V</w:t>
            </w:r>
          </w:p>
        </w:tc>
        <w:tc>
          <w:tcPr>
            <w:tcW w:w="5245" w:type="dxa"/>
            <w:shd w:val="clear" w:color="auto" w:fill="auto"/>
            <w:vAlign w:val="center"/>
          </w:tcPr>
          <w:p w:rsidR="00CC3C68" w:rsidRPr="003B03F9" w:rsidRDefault="00CC3C68" w:rsidP="00691125">
            <w:r>
              <w:t>CPVA padalinio viršininkas/vadovas</w:t>
            </w:r>
          </w:p>
        </w:tc>
      </w:tr>
      <w:tr w:rsidR="00CC3C68" w:rsidRPr="003B03F9" w:rsidTr="00691125">
        <w:tc>
          <w:tcPr>
            <w:tcW w:w="699" w:type="dxa"/>
            <w:vAlign w:val="center"/>
          </w:tcPr>
          <w:p w:rsidR="00CC3C68" w:rsidRPr="003B03F9" w:rsidRDefault="00CC3C68" w:rsidP="00691125">
            <w:pPr>
              <w:numPr>
                <w:ilvl w:val="1"/>
                <w:numId w:val="1"/>
              </w:numPr>
              <w:tabs>
                <w:tab w:val="left" w:pos="164"/>
              </w:tabs>
              <w:ind w:hanging="1614"/>
            </w:pPr>
          </w:p>
        </w:tc>
        <w:tc>
          <w:tcPr>
            <w:tcW w:w="3544" w:type="dxa"/>
            <w:shd w:val="clear" w:color="auto" w:fill="auto"/>
            <w:vAlign w:val="center"/>
          </w:tcPr>
          <w:p w:rsidR="00CC3C68" w:rsidRPr="003B03F9" w:rsidRDefault="00CC3C68" w:rsidP="00691125">
            <w:r w:rsidRPr="003B03F9">
              <w:t>KUS</w:t>
            </w:r>
          </w:p>
        </w:tc>
        <w:tc>
          <w:tcPr>
            <w:tcW w:w="5245" w:type="dxa"/>
            <w:shd w:val="clear" w:color="auto" w:fill="auto"/>
            <w:vAlign w:val="center"/>
          </w:tcPr>
          <w:p w:rsidR="00CC3C68" w:rsidRPr="003B03F9" w:rsidRDefault="00CC3C68" w:rsidP="00691125">
            <w:r w:rsidRPr="0033204E">
              <w:t>Kokybės užtikrinimo skyrius</w:t>
            </w:r>
          </w:p>
        </w:tc>
      </w:tr>
      <w:tr w:rsidR="00CC3C68" w:rsidRPr="003B03F9" w:rsidTr="00691125">
        <w:tc>
          <w:tcPr>
            <w:tcW w:w="699" w:type="dxa"/>
            <w:vAlign w:val="center"/>
          </w:tcPr>
          <w:p w:rsidR="00CC3C68" w:rsidRPr="003B03F9" w:rsidRDefault="00CC3C68" w:rsidP="00691125">
            <w:pPr>
              <w:numPr>
                <w:ilvl w:val="1"/>
                <w:numId w:val="1"/>
              </w:numPr>
              <w:tabs>
                <w:tab w:val="left" w:pos="164"/>
              </w:tabs>
              <w:ind w:hanging="1614"/>
            </w:pPr>
          </w:p>
        </w:tc>
        <w:tc>
          <w:tcPr>
            <w:tcW w:w="3544" w:type="dxa"/>
            <w:shd w:val="clear" w:color="auto" w:fill="auto"/>
            <w:vAlign w:val="center"/>
          </w:tcPr>
          <w:p w:rsidR="00CC3C68" w:rsidRDefault="00CC3C68" w:rsidP="00691125">
            <w:r>
              <w:t>KUS VT</w:t>
            </w:r>
          </w:p>
        </w:tc>
        <w:tc>
          <w:tcPr>
            <w:tcW w:w="5245" w:type="dxa"/>
            <w:shd w:val="clear" w:color="auto" w:fill="auto"/>
            <w:vAlign w:val="center"/>
          </w:tcPr>
          <w:p w:rsidR="00CC3C68" w:rsidRDefault="00CC3C68" w:rsidP="00691125">
            <w:r>
              <w:t>KUS vyresnysis teisininkas</w:t>
            </w:r>
          </w:p>
        </w:tc>
      </w:tr>
      <w:tr w:rsidR="00CC3C68" w:rsidRPr="003B03F9" w:rsidTr="00691125">
        <w:tc>
          <w:tcPr>
            <w:tcW w:w="699" w:type="dxa"/>
            <w:vAlign w:val="center"/>
          </w:tcPr>
          <w:p w:rsidR="00CC3C68" w:rsidRPr="003B03F9" w:rsidRDefault="00CC3C68" w:rsidP="00691125">
            <w:pPr>
              <w:numPr>
                <w:ilvl w:val="1"/>
                <w:numId w:val="1"/>
              </w:numPr>
              <w:ind w:hanging="1614"/>
            </w:pPr>
          </w:p>
        </w:tc>
        <w:tc>
          <w:tcPr>
            <w:tcW w:w="3544" w:type="dxa"/>
            <w:shd w:val="clear" w:color="auto" w:fill="auto"/>
            <w:vAlign w:val="center"/>
          </w:tcPr>
          <w:p w:rsidR="00CC3C68" w:rsidRPr="003B03F9" w:rsidRDefault="00CC3C68" w:rsidP="00691125">
            <w:pPr>
              <w:jc w:val="both"/>
            </w:pPr>
            <w:r w:rsidRPr="003B03F9">
              <w:t>DVS</w:t>
            </w:r>
          </w:p>
        </w:tc>
        <w:tc>
          <w:tcPr>
            <w:tcW w:w="5245" w:type="dxa"/>
            <w:shd w:val="clear" w:color="auto" w:fill="auto"/>
            <w:vAlign w:val="center"/>
          </w:tcPr>
          <w:p w:rsidR="00CC3C68" w:rsidRPr="003B03F9" w:rsidRDefault="00CC3C68" w:rsidP="00691125">
            <w:pPr>
              <w:ind w:left="-7"/>
              <w:jc w:val="both"/>
            </w:pPr>
            <w:r w:rsidRPr="003B03F9">
              <w:t>CPVA informacinės sistemos dokumentų valdymo posistemis.</w:t>
            </w:r>
          </w:p>
        </w:tc>
      </w:tr>
    </w:tbl>
    <w:p w:rsidR="00CC3C68" w:rsidRPr="003B03F9" w:rsidRDefault="00CC3C68" w:rsidP="00CC3C68"/>
    <w:p w:rsidR="00CC3C68" w:rsidRPr="006C573F" w:rsidRDefault="00CC3C68" w:rsidP="00CC3C68">
      <w:pPr>
        <w:pStyle w:val="Heading2"/>
        <w:spacing w:after="240"/>
        <w:rPr>
          <w:rFonts w:ascii="Times New Roman" w:hAnsi="Times New Roman"/>
          <w:i w:val="0"/>
          <w:sz w:val="24"/>
          <w:szCs w:val="24"/>
        </w:rPr>
      </w:pPr>
      <w:r>
        <w:rPr>
          <w:rFonts w:ascii="Times New Roman" w:hAnsi="Times New Roman"/>
          <w:i w:val="0"/>
          <w:sz w:val="24"/>
          <w:szCs w:val="24"/>
        </w:rPr>
        <w:t xml:space="preserve">III. </w:t>
      </w:r>
      <w:r w:rsidRPr="003B03F9">
        <w:rPr>
          <w:rFonts w:ascii="Times New Roman" w:hAnsi="Times New Roman"/>
          <w:i w:val="0"/>
          <w:sz w:val="24"/>
          <w:szCs w:val="24"/>
        </w:rPr>
        <w:t>Bendrosios nuostatos</w:t>
      </w:r>
    </w:p>
    <w:p w:rsidR="00CC3C68" w:rsidRDefault="00CC3C68" w:rsidP="00CC3C68">
      <w:pPr>
        <w:numPr>
          <w:ilvl w:val="0"/>
          <w:numId w:val="1"/>
        </w:numPr>
        <w:tabs>
          <w:tab w:val="num" w:pos="1260"/>
        </w:tabs>
        <w:ind w:left="0" w:firstLine="900"/>
        <w:jc w:val="both"/>
      </w:pPr>
      <w:r w:rsidRPr="003B03F9">
        <w:t xml:space="preserve">Teisės akto projektų antikorupcinį vertinimą atlieka KUS </w:t>
      </w:r>
      <w:r>
        <w:t>VT</w:t>
      </w:r>
      <w:r w:rsidRPr="003B03F9">
        <w:t xml:space="preserve"> arba kitas CPVA darbuotojas,</w:t>
      </w:r>
      <w:r>
        <w:t xml:space="preserve"> darbo grupė,</w:t>
      </w:r>
      <w:r w:rsidRPr="003B03F9">
        <w:t xml:space="preserve"> </w:t>
      </w:r>
      <w:r>
        <w:t>padalinys, kuriam CPVA D</w:t>
      </w:r>
      <w:r w:rsidRPr="003B03F9">
        <w:t xml:space="preserve"> yra pavesta vykdyti teisės aktų projektų antikorupcinį vertinimą. Šioje procedūroje nurodytos privalomos nuostatos KUS </w:t>
      </w:r>
      <w:r>
        <w:t>VT</w:t>
      </w:r>
      <w:r w:rsidRPr="003B03F9">
        <w:t xml:space="preserve"> yra privalomos ir kitam darbuotojui, </w:t>
      </w:r>
      <w:r>
        <w:t xml:space="preserve">darbo grupei, padaliniui, </w:t>
      </w:r>
      <w:r w:rsidRPr="003B03F9">
        <w:t>atliekančiam teisės aktų projektų antikorupcinį v</w:t>
      </w:r>
      <w:r>
        <w:t>ertinimą pagal CPVA D</w:t>
      </w:r>
      <w:r w:rsidRPr="003B03F9">
        <w:t xml:space="preserve"> atskirą pavedimą. </w:t>
      </w:r>
    </w:p>
    <w:p w:rsidR="00CC3C68" w:rsidRDefault="00CC3C68" w:rsidP="00CC3C68">
      <w:pPr>
        <w:numPr>
          <w:ilvl w:val="0"/>
          <w:numId w:val="1"/>
        </w:numPr>
        <w:tabs>
          <w:tab w:val="num" w:pos="1260"/>
        </w:tabs>
        <w:ind w:left="0" w:firstLine="900"/>
        <w:jc w:val="both"/>
      </w:pPr>
      <w:r>
        <w:t>CPVA teisės akto projekto tiesioginis rengėjas, rengdamas</w:t>
      </w:r>
      <w:r w:rsidRPr="00B06665">
        <w:t xml:space="preserve"> teisės akto projektą</w:t>
      </w:r>
      <w:r>
        <w:t>,</w:t>
      </w:r>
      <w:r w:rsidRPr="00B06665">
        <w:t xml:space="preserve"> vadovaujasi teisės aktų projektų antikorupcinio vertinimo kriterijais, kurie numatyti Teisės aktų projektų an</w:t>
      </w:r>
      <w:r>
        <w:t>tikorupcinio vertinimo taisyklėse.</w:t>
      </w:r>
    </w:p>
    <w:p w:rsidR="00CC3C68" w:rsidRPr="003B03F9" w:rsidRDefault="00CC3C68" w:rsidP="00CC3C68">
      <w:pPr>
        <w:numPr>
          <w:ilvl w:val="0"/>
          <w:numId w:val="1"/>
        </w:numPr>
        <w:tabs>
          <w:tab w:val="num" w:pos="1260"/>
        </w:tabs>
        <w:ind w:left="0" w:firstLine="900"/>
        <w:jc w:val="both"/>
      </w:pPr>
      <w:r w:rsidRPr="00963EC8">
        <w:t>Jei teisės akto projektas yra didelės apimties, teisės akto projekto vertinimui gali būti priskirtas ne vienas asmuo.</w:t>
      </w:r>
    </w:p>
    <w:bookmarkEnd w:id="0"/>
    <w:p w:rsidR="00CC3C68" w:rsidRPr="002C3026" w:rsidRDefault="00CC3C68" w:rsidP="00CC3C68">
      <w:pPr>
        <w:pStyle w:val="Heading2"/>
        <w:spacing w:after="240"/>
        <w:rPr>
          <w:rFonts w:ascii="Times New Roman" w:hAnsi="Times New Roman"/>
          <w:i w:val="0"/>
          <w:sz w:val="24"/>
          <w:szCs w:val="24"/>
        </w:rPr>
      </w:pPr>
      <w:r w:rsidRPr="002C3026">
        <w:rPr>
          <w:rFonts w:ascii="Times New Roman" w:hAnsi="Times New Roman"/>
          <w:i w:val="0"/>
          <w:sz w:val="24"/>
          <w:szCs w:val="24"/>
        </w:rPr>
        <w:t>IV. Teisės aktų projektų antikorupcinis vertinimas</w:t>
      </w:r>
    </w:p>
    <w:p w:rsidR="00CC3C68" w:rsidRDefault="00CC3C68" w:rsidP="00CC3C68">
      <w:pPr>
        <w:numPr>
          <w:ilvl w:val="0"/>
          <w:numId w:val="1"/>
        </w:numPr>
        <w:tabs>
          <w:tab w:val="num" w:pos="1260"/>
        </w:tabs>
        <w:ind w:left="0" w:firstLine="900"/>
        <w:jc w:val="both"/>
      </w:pPr>
      <w:r>
        <w:t>CPVA teisės akto projekto tiesioginis rengėjas turi teikti teisės aktų projektus, tik atitinkančius Teisės aktų projektų antikorupcinio vertinimo taisyklėse nurodytus kriterijus, vertintojui, kad būtų atliktas antikorupcinis vertinimas.</w:t>
      </w:r>
    </w:p>
    <w:p w:rsidR="00CC3C68" w:rsidRDefault="00CC3C68" w:rsidP="00CC3C68">
      <w:pPr>
        <w:numPr>
          <w:ilvl w:val="0"/>
          <w:numId w:val="1"/>
        </w:numPr>
        <w:tabs>
          <w:tab w:val="num" w:pos="1260"/>
        </w:tabs>
        <w:ind w:left="0" w:firstLine="900"/>
        <w:jc w:val="both"/>
      </w:pPr>
      <w:r>
        <w:t xml:space="preserve"> Vertintojui pateikiami visi CPVA parengti </w:t>
      </w:r>
      <w:r w:rsidRPr="00C7543E">
        <w:t>norminių ir vidaus administravimo teisės aktų projektai (įsakymai, potvarkiai, nurodymai ir jais tvirtinamos procedūros, taisyklės, tvarkos,</w:t>
      </w:r>
      <w:r w:rsidRPr="00885DF0">
        <w:t xml:space="preserve"> instrukcijos, metodikos, programos, tvarkų aprašai ir kiti dokumentai)</w:t>
      </w:r>
      <w:r>
        <w:t>, išskyrus atvejus, kai teisės akto projektu siūlomi tik redakcinio ir (ar) techninio pobūdžio anksčiau priimto teisės akto pakeitimai ir (ar) papildymai, ir dėl šių pakeitimų ir (ar) papildymų nesikeičia teisinio reguliavimo esmė.</w:t>
      </w:r>
    </w:p>
    <w:p w:rsidR="00CC3C68" w:rsidRDefault="00CC3C68" w:rsidP="00CC3C68">
      <w:pPr>
        <w:numPr>
          <w:ilvl w:val="0"/>
          <w:numId w:val="1"/>
        </w:numPr>
        <w:tabs>
          <w:tab w:val="num" w:pos="1260"/>
        </w:tabs>
        <w:ind w:left="0" w:firstLine="900"/>
        <w:jc w:val="both"/>
      </w:pPr>
      <w:r>
        <w:t xml:space="preserve"> Jei vertintojui pateiktame teisės akto projekte nenumatoma reguliuoti visuomeninių santykių, nurodytų KP įstatymo 8 straipsnio 1 dalyje, vertintojas vizuoja teisės akto projektą, nurodydamas, kad jis antikorupciniu požiūriu nevertintinas, ir ne vėliau kaip per 3 darbo dienas nuo teisės akto projekto gavimo grąžina jį teisės akto projekto rengėjui.</w:t>
      </w:r>
    </w:p>
    <w:p w:rsidR="00CC3C68" w:rsidRDefault="00CC3C68" w:rsidP="00CC3C68">
      <w:pPr>
        <w:numPr>
          <w:ilvl w:val="0"/>
          <w:numId w:val="1"/>
        </w:numPr>
        <w:tabs>
          <w:tab w:val="num" w:pos="1260"/>
        </w:tabs>
        <w:ind w:left="0" w:firstLine="900"/>
        <w:jc w:val="both"/>
      </w:pPr>
      <w:r>
        <w:t xml:space="preserve"> Vertintojas turi teisę įvertinti teisės akto projektą antikorupciniu požiūriu, jeigu teisės akto projektas ir nėra susijęs su reguliuojamais visuomeniniais santykiais, nurodytais KP </w:t>
      </w:r>
      <w:r w:rsidRPr="00AC1D3C">
        <w:t>įstatymo 8 straipsnio 1 dalyje</w:t>
      </w:r>
      <w:r>
        <w:t xml:space="preserve">, tačiau teisės akto projekte išdėstytos nuostatos gali </w:t>
      </w:r>
      <w:r w:rsidRPr="00405AEC">
        <w:t>sudaryti sąlygas pasireikšti korupcijai, taip pat pasielgti nesąžiningai, neteisingai, neskaidriai, neobjektyviai</w:t>
      </w:r>
      <w:r>
        <w:t>.</w:t>
      </w:r>
    </w:p>
    <w:p w:rsidR="00CC3C68" w:rsidRDefault="00CC3C68" w:rsidP="00CC3C68">
      <w:pPr>
        <w:numPr>
          <w:ilvl w:val="0"/>
          <w:numId w:val="1"/>
        </w:numPr>
        <w:tabs>
          <w:tab w:val="num" w:pos="1260"/>
        </w:tabs>
        <w:ind w:left="0" w:firstLine="900"/>
        <w:jc w:val="both"/>
      </w:pPr>
      <w:r>
        <w:t xml:space="preserve"> Jei vertintojui pateiktame teisės akto projekte numatoma reguliuoti visuomeninius santykius, nurodytus KP įstatymo 8 straipsnio 1 dalyje arba nors ir nenumatoma reguliuoti minėtų visuomeninių santykių, tačiau vertintojo pažiūriu konkretus teisės akto projektas turi būti įvertintas antikorupciniu požiūriu, vertintojas atlieka teisės akto projekto antikorupcinį vertinimą, kurio metu analizuoja teisės akto projekto turinį, vertina jį pagal Teisės aktų projektų antikorupcinio vertinimo pažymoje, kurios forma pateikta Teisės aktų projektų antikorupcinio vertinimo taisyklių priede, nurodytus antikorupcinio vertinimo kriterijus, prognozuoja, kaip teisės akto projekto nuostatos gali sudaryti sąlygas atsirasti ar plisti korupcijai.</w:t>
      </w:r>
    </w:p>
    <w:p w:rsidR="00CC3C68" w:rsidRPr="00162752" w:rsidRDefault="00CC3C68" w:rsidP="00CC3C68">
      <w:pPr>
        <w:numPr>
          <w:ilvl w:val="0"/>
          <w:numId w:val="1"/>
        </w:numPr>
        <w:tabs>
          <w:tab w:val="num" w:pos="1260"/>
        </w:tabs>
        <w:ind w:left="0" w:firstLine="900"/>
        <w:jc w:val="both"/>
      </w:pPr>
      <w:r w:rsidRPr="00162752">
        <w:t>Vertintojas teisės akto antikorupcinį vertinimą atlieka:</w:t>
      </w:r>
    </w:p>
    <w:p w:rsidR="00CC3C68" w:rsidRDefault="00CC3C68" w:rsidP="00CC3C68">
      <w:pPr>
        <w:pStyle w:val="ListParagraph"/>
        <w:numPr>
          <w:ilvl w:val="1"/>
          <w:numId w:val="1"/>
        </w:numPr>
        <w:tabs>
          <w:tab w:val="clear" w:pos="1778"/>
          <w:tab w:val="left" w:pos="1276"/>
          <w:tab w:val="num" w:pos="1418"/>
          <w:tab w:val="left" w:pos="1560"/>
        </w:tabs>
        <w:ind w:left="0" w:firstLine="851"/>
        <w:jc w:val="both"/>
        <w:rPr>
          <w:rFonts w:ascii="Times New Roman" w:hAnsi="Times New Roman" w:cs="Times New Roman"/>
          <w:sz w:val="24"/>
          <w:szCs w:val="24"/>
        </w:rPr>
      </w:pPr>
      <w:r>
        <w:rPr>
          <w:rFonts w:ascii="Times New Roman" w:hAnsi="Times New Roman" w:cs="Times New Roman"/>
          <w:sz w:val="24"/>
          <w:szCs w:val="24"/>
        </w:rPr>
        <w:t>a</w:t>
      </w:r>
      <w:r w:rsidRPr="002A4559">
        <w:rPr>
          <w:rFonts w:ascii="Times New Roman" w:hAnsi="Times New Roman" w:cs="Times New Roman"/>
          <w:sz w:val="24"/>
          <w:szCs w:val="24"/>
        </w:rPr>
        <w:t>nalizuodamas</w:t>
      </w:r>
      <w:r>
        <w:rPr>
          <w:rFonts w:ascii="Times New Roman" w:hAnsi="Times New Roman" w:cs="Times New Roman"/>
          <w:sz w:val="24"/>
          <w:szCs w:val="24"/>
        </w:rPr>
        <w:t xml:space="preserve"> teisės </w:t>
      </w:r>
      <w:r w:rsidRPr="002A4559">
        <w:rPr>
          <w:rFonts w:ascii="Times New Roman" w:hAnsi="Times New Roman" w:cs="Times New Roman"/>
          <w:sz w:val="24"/>
          <w:szCs w:val="24"/>
        </w:rPr>
        <w:t xml:space="preserve"> </w:t>
      </w:r>
      <w:r>
        <w:rPr>
          <w:rFonts w:ascii="Times New Roman" w:hAnsi="Times New Roman" w:cs="Times New Roman"/>
          <w:sz w:val="24"/>
          <w:szCs w:val="24"/>
        </w:rPr>
        <w:t xml:space="preserve">akto projekto </w:t>
      </w:r>
      <w:r w:rsidRPr="002A4559">
        <w:rPr>
          <w:rFonts w:ascii="Times New Roman" w:hAnsi="Times New Roman" w:cs="Times New Roman"/>
          <w:sz w:val="24"/>
          <w:szCs w:val="24"/>
        </w:rPr>
        <w:t>turinį, kurį vertina pagal Teisės aktų projektų antikorupcinio vertinimo taisyklėse nurodytus anti</w:t>
      </w:r>
      <w:r>
        <w:rPr>
          <w:rFonts w:ascii="Times New Roman" w:hAnsi="Times New Roman" w:cs="Times New Roman"/>
          <w:sz w:val="24"/>
          <w:szCs w:val="24"/>
        </w:rPr>
        <w:t>korupcinio vertinimo kriterijus;</w:t>
      </w:r>
    </w:p>
    <w:p w:rsidR="00CC3C68" w:rsidRDefault="00CC3C68" w:rsidP="00CC3C68">
      <w:pPr>
        <w:pStyle w:val="ListParagraph"/>
        <w:numPr>
          <w:ilvl w:val="1"/>
          <w:numId w:val="1"/>
        </w:numPr>
        <w:tabs>
          <w:tab w:val="clear" w:pos="1778"/>
          <w:tab w:val="left" w:pos="1276"/>
          <w:tab w:val="num" w:pos="1418"/>
          <w:tab w:val="left" w:pos="1560"/>
        </w:tabs>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prognozuodamas, kaip teisės akto projekto nuostatos galėtų sudaryti sąlygas korupcijai atsirasti;</w:t>
      </w:r>
    </w:p>
    <w:p w:rsidR="00CC3C68" w:rsidRDefault="00CC3C68" w:rsidP="00CC3C68">
      <w:pPr>
        <w:pStyle w:val="ListParagraph"/>
        <w:numPr>
          <w:ilvl w:val="1"/>
          <w:numId w:val="1"/>
        </w:numPr>
        <w:tabs>
          <w:tab w:val="clear" w:pos="1778"/>
          <w:tab w:val="left" w:pos="1276"/>
          <w:tab w:val="num" w:pos="1418"/>
          <w:tab w:val="left" w:pos="1560"/>
        </w:tabs>
        <w:ind w:left="0" w:firstLine="851"/>
        <w:jc w:val="both"/>
        <w:rPr>
          <w:rFonts w:ascii="Times New Roman" w:hAnsi="Times New Roman" w:cs="Times New Roman"/>
          <w:sz w:val="24"/>
          <w:szCs w:val="24"/>
        </w:rPr>
      </w:pPr>
      <w:r>
        <w:rPr>
          <w:rFonts w:ascii="Times New Roman" w:hAnsi="Times New Roman" w:cs="Times New Roman"/>
          <w:sz w:val="24"/>
          <w:szCs w:val="24"/>
        </w:rPr>
        <w:t>atsižvelgdamas į esamą reguliavimą ir visuomeninius santykius reguliuojamoje srityje bei nustatydamas, ar teisės akto projektas neprieštarauja galiojantiems teisės aktams;</w:t>
      </w:r>
    </w:p>
    <w:p w:rsidR="00CC3C68" w:rsidRDefault="00CC3C68" w:rsidP="00CC3C68">
      <w:pPr>
        <w:pStyle w:val="ListParagraph"/>
        <w:numPr>
          <w:ilvl w:val="1"/>
          <w:numId w:val="1"/>
        </w:numPr>
        <w:tabs>
          <w:tab w:val="clear" w:pos="1778"/>
          <w:tab w:val="left" w:pos="1276"/>
          <w:tab w:val="num" w:pos="1418"/>
          <w:tab w:val="left" w:pos="1560"/>
        </w:tabs>
        <w:ind w:left="0" w:firstLine="851"/>
        <w:jc w:val="both"/>
        <w:rPr>
          <w:rFonts w:ascii="Times New Roman" w:hAnsi="Times New Roman" w:cs="Times New Roman"/>
          <w:sz w:val="24"/>
          <w:szCs w:val="24"/>
        </w:rPr>
      </w:pPr>
      <w:r w:rsidRPr="00DC3A40">
        <w:rPr>
          <w:rFonts w:ascii="Times New Roman" w:hAnsi="Times New Roman" w:cs="Times New Roman"/>
          <w:sz w:val="24"/>
          <w:szCs w:val="24"/>
        </w:rPr>
        <w:t>įvertindamas</w:t>
      </w:r>
      <w:r>
        <w:rPr>
          <w:rFonts w:ascii="Times New Roman" w:hAnsi="Times New Roman" w:cs="Times New Roman"/>
          <w:sz w:val="24"/>
          <w:szCs w:val="24"/>
        </w:rPr>
        <w:t xml:space="preserve">: </w:t>
      </w:r>
    </w:p>
    <w:p w:rsidR="00CC3C68" w:rsidRDefault="00CC3C68" w:rsidP="00CC3C68">
      <w:pPr>
        <w:pStyle w:val="ListParagraph"/>
        <w:numPr>
          <w:ilvl w:val="2"/>
          <w:numId w:val="2"/>
        </w:numPr>
        <w:tabs>
          <w:tab w:val="left" w:pos="1276"/>
          <w:tab w:val="left" w:pos="1560"/>
        </w:tabs>
        <w:ind w:left="0" w:firstLine="851"/>
        <w:jc w:val="both"/>
        <w:rPr>
          <w:rFonts w:ascii="Times New Roman" w:hAnsi="Times New Roman" w:cs="Times New Roman"/>
          <w:sz w:val="24"/>
          <w:szCs w:val="24"/>
        </w:rPr>
      </w:pPr>
      <w:r w:rsidRPr="00DC3A40">
        <w:rPr>
          <w:rFonts w:ascii="Times New Roman" w:hAnsi="Times New Roman" w:cs="Times New Roman"/>
          <w:sz w:val="24"/>
          <w:szCs w:val="24"/>
        </w:rPr>
        <w:t>ar teisės akto arba jo projekto tikslai, uždaviniai atitinka teisės akto ar jo projekto nuostatas</w:t>
      </w:r>
      <w:r>
        <w:rPr>
          <w:rFonts w:ascii="Times New Roman" w:hAnsi="Times New Roman" w:cs="Times New Roman"/>
          <w:sz w:val="24"/>
          <w:szCs w:val="24"/>
        </w:rPr>
        <w:t>;</w:t>
      </w:r>
    </w:p>
    <w:p w:rsidR="00CC3C68" w:rsidRDefault="00CC3C68" w:rsidP="00CC3C68">
      <w:pPr>
        <w:pStyle w:val="ListParagraph"/>
        <w:numPr>
          <w:ilvl w:val="2"/>
          <w:numId w:val="2"/>
        </w:numPr>
        <w:tabs>
          <w:tab w:val="left" w:pos="1276"/>
          <w:tab w:val="left" w:pos="1560"/>
        </w:tabs>
        <w:ind w:left="0" w:firstLine="851"/>
        <w:jc w:val="both"/>
        <w:rPr>
          <w:rFonts w:ascii="Times New Roman" w:hAnsi="Times New Roman" w:cs="Times New Roman"/>
          <w:sz w:val="24"/>
          <w:szCs w:val="24"/>
        </w:rPr>
      </w:pPr>
      <w:r w:rsidRPr="00912F61">
        <w:rPr>
          <w:rFonts w:ascii="Times New Roman" w:hAnsi="Times New Roman" w:cs="Times New Roman"/>
          <w:sz w:val="24"/>
          <w:szCs w:val="24"/>
        </w:rPr>
        <w:t xml:space="preserve"> ar numatomas teisinis reguliavimas pakankamai reglamentuoja atitinkamą sritį</w:t>
      </w:r>
      <w:r>
        <w:rPr>
          <w:rFonts w:ascii="Times New Roman" w:hAnsi="Times New Roman" w:cs="Times New Roman"/>
          <w:sz w:val="24"/>
          <w:szCs w:val="24"/>
        </w:rPr>
        <w:t>;</w:t>
      </w:r>
    </w:p>
    <w:p w:rsidR="00CC3C68" w:rsidRDefault="00CC3C68" w:rsidP="00CC3C68">
      <w:pPr>
        <w:pStyle w:val="ListParagraph"/>
        <w:numPr>
          <w:ilvl w:val="2"/>
          <w:numId w:val="2"/>
        </w:numPr>
        <w:tabs>
          <w:tab w:val="left" w:pos="1276"/>
          <w:tab w:val="left" w:pos="1560"/>
        </w:tabs>
        <w:ind w:left="0" w:firstLine="851"/>
        <w:jc w:val="both"/>
        <w:rPr>
          <w:rFonts w:ascii="Times New Roman" w:hAnsi="Times New Roman" w:cs="Times New Roman"/>
          <w:sz w:val="24"/>
          <w:szCs w:val="24"/>
        </w:rPr>
      </w:pPr>
      <w:r w:rsidRPr="00912F61">
        <w:rPr>
          <w:rFonts w:ascii="Times New Roman" w:hAnsi="Times New Roman" w:cs="Times New Roman"/>
          <w:sz w:val="24"/>
          <w:szCs w:val="24"/>
        </w:rPr>
        <w:t>ar dėl nustatyto, numatomo teisinio reguliavimo nesudaroma prielaidų pasipelnyti valstybės sąskaita</w:t>
      </w:r>
      <w:r>
        <w:rPr>
          <w:rFonts w:ascii="Times New Roman" w:hAnsi="Times New Roman" w:cs="Times New Roman"/>
          <w:sz w:val="24"/>
          <w:szCs w:val="24"/>
        </w:rPr>
        <w:t>;</w:t>
      </w:r>
    </w:p>
    <w:p w:rsidR="00CC3C68" w:rsidRDefault="00CC3C68" w:rsidP="00CC3C68">
      <w:pPr>
        <w:pStyle w:val="ListParagraph"/>
        <w:numPr>
          <w:ilvl w:val="2"/>
          <w:numId w:val="2"/>
        </w:numPr>
        <w:tabs>
          <w:tab w:val="left" w:pos="1276"/>
          <w:tab w:val="left" w:pos="1560"/>
        </w:tabs>
        <w:ind w:left="0" w:firstLine="851"/>
        <w:jc w:val="both"/>
        <w:rPr>
          <w:rFonts w:ascii="Times New Roman" w:hAnsi="Times New Roman" w:cs="Times New Roman"/>
          <w:sz w:val="24"/>
          <w:szCs w:val="24"/>
        </w:rPr>
      </w:pPr>
      <w:r w:rsidRPr="00912F61">
        <w:rPr>
          <w:rFonts w:ascii="Times New Roman" w:hAnsi="Times New Roman" w:cs="Times New Roman"/>
          <w:sz w:val="24"/>
          <w:szCs w:val="24"/>
        </w:rPr>
        <w:t>ar nėra akivaizdžių spragų, leisiančių dviprasmiškai aiškinti ir taikyti te</w:t>
      </w:r>
      <w:r w:rsidRPr="009604D7">
        <w:rPr>
          <w:rFonts w:ascii="Times New Roman" w:hAnsi="Times New Roman" w:cs="Times New Roman"/>
          <w:sz w:val="24"/>
          <w:szCs w:val="24"/>
        </w:rPr>
        <w:t>isės aktą</w:t>
      </w:r>
      <w:r>
        <w:rPr>
          <w:rFonts w:ascii="Times New Roman" w:hAnsi="Times New Roman" w:cs="Times New Roman"/>
          <w:sz w:val="24"/>
          <w:szCs w:val="24"/>
        </w:rPr>
        <w:t>;</w:t>
      </w:r>
    </w:p>
    <w:p w:rsidR="00CC3C68" w:rsidRDefault="00CC3C68" w:rsidP="00CC3C68">
      <w:pPr>
        <w:pStyle w:val="ListParagraph"/>
        <w:numPr>
          <w:ilvl w:val="2"/>
          <w:numId w:val="2"/>
        </w:numPr>
        <w:tabs>
          <w:tab w:val="left" w:pos="1276"/>
          <w:tab w:val="left" w:pos="1560"/>
        </w:tabs>
        <w:ind w:left="0" w:firstLine="851"/>
        <w:jc w:val="both"/>
        <w:rPr>
          <w:rFonts w:ascii="Times New Roman" w:hAnsi="Times New Roman" w:cs="Times New Roman"/>
          <w:sz w:val="24"/>
          <w:szCs w:val="24"/>
        </w:rPr>
      </w:pPr>
      <w:r w:rsidRPr="009604D7">
        <w:rPr>
          <w:rFonts w:ascii="Times New Roman" w:hAnsi="Times New Roman" w:cs="Times New Roman"/>
          <w:sz w:val="24"/>
          <w:szCs w:val="24"/>
        </w:rPr>
        <w:t>ar nustatytos subjektų, su kuriais susijęs teisės akto įgyvendinimas, teisės ir pareigos, pakankamas jų įgyvendinimo teisinis reguliavimas</w:t>
      </w:r>
      <w:r>
        <w:rPr>
          <w:rFonts w:ascii="Times New Roman" w:hAnsi="Times New Roman" w:cs="Times New Roman"/>
          <w:sz w:val="24"/>
          <w:szCs w:val="24"/>
        </w:rPr>
        <w:t>;</w:t>
      </w:r>
    </w:p>
    <w:p w:rsidR="00CC3C68" w:rsidRDefault="00CC3C68" w:rsidP="00CC3C68">
      <w:pPr>
        <w:pStyle w:val="ListParagraph"/>
        <w:numPr>
          <w:ilvl w:val="2"/>
          <w:numId w:val="2"/>
        </w:numPr>
        <w:tabs>
          <w:tab w:val="left" w:pos="1276"/>
          <w:tab w:val="left" w:pos="1560"/>
        </w:tabs>
        <w:ind w:left="0" w:firstLine="851"/>
        <w:jc w:val="both"/>
        <w:rPr>
          <w:rFonts w:ascii="Times New Roman" w:hAnsi="Times New Roman" w:cs="Times New Roman"/>
          <w:sz w:val="24"/>
          <w:szCs w:val="24"/>
        </w:rPr>
      </w:pPr>
      <w:r w:rsidRPr="009604D7">
        <w:rPr>
          <w:rFonts w:ascii="Times New Roman" w:hAnsi="Times New Roman" w:cs="Times New Roman"/>
          <w:sz w:val="24"/>
          <w:szCs w:val="24"/>
        </w:rPr>
        <w:t>ar nustatyta teisės akto įgyvendinimo, subjektų veiklos ir procedūrų kontrolė</w:t>
      </w:r>
      <w:r>
        <w:rPr>
          <w:rFonts w:ascii="Times New Roman" w:hAnsi="Times New Roman" w:cs="Times New Roman"/>
          <w:sz w:val="24"/>
          <w:szCs w:val="24"/>
        </w:rPr>
        <w:t>;</w:t>
      </w:r>
    </w:p>
    <w:p w:rsidR="00CC3C68" w:rsidRDefault="00CC3C68" w:rsidP="00CC3C68">
      <w:pPr>
        <w:pStyle w:val="ListParagraph"/>
        <w:numPr>
          <w:ilvl w:val="2"/>
          <w:numId w:val="2"/>
        </w:numPr>
        <w:tabs>
          <w:tab w:val="left" w:pos="1276"/>
          <w:tab w:val="left" w:pos="1560"/>
        </w:tabs>
        <w:ind w:left="0" w:firstLine="851"/>
        <w:jc w:val="both"/>
        <w:rPr>
          <w:rFonts w:ascii="Times New Roman" w:hAnsi="Times New Roman" w:cs="Times New Roman"/>
          <w:sz w:val="24"/>
          <w:szCs w:val="24"/>
        </w:rPr>
      </w:pPr>
      <w:r w:rsidRPr="009604D7">
        <w:rPr>
          <w:rFonts w:ascii="Times New Roman" w:hAnsi="Times New Roman" w:cs="Times New Roman"/>
          <w:sz w:val="24"/>
          <w:szCs w:val="24"/>
        </w:rPr>
        <w:t>ar dėl nustatyto, numatomo teisinio reglamentavimo nesumažės skaidrumo</w:t>
      </w:r>
      <w:r>
        <w:rPr>
          <w:rFonts w:ascii="Times New Roman" w:hAnsi="Times New Roman" w:cs="Times New Roman"/>
          <w:sz w:val="24"/>
          <w:szCs w:val="24"/>
        </w:rPr>
        <w:t>;</w:t>
      </w:r>
    </w:p>
    <w:p w:rsidR="00CC3C68" w:rsidRDefault="00CC3C68" w:rsidP="00CC3C68">
      <w:pPr>
        <w:pStyle w:val="ListParagraph"/>
        <w:numPr>
          <w:ilvl w:val="2"/>
          <w:numId w:val="2"/>
        </w:numPr>
        <w:tabs>
          <w:tab w:val="left" w:pos="1276"/>
          <w:tab w:val="left" w:pos="1560"/>
        </w:tabs>
        <w:ind w:left="0" w:firstLine="851"/>
        <w:jc w:val="both"/>
        <w:rPr>
          <w:rFonts w:ascii="Times New Roman" w:hAnsi="Times New Roman" w:cs="Times New Roman"/>
          <w:sz w:val="24"/>
          <w:szCs w:val="24"/>
        </w:rPr>
      </w:pPr>
      <w:r w:rsidRPr="009604D7">
        <w:rPr>
          <w:rFonts w:ascii="Times New Roman" w:hAnsi="Times New Roman" w:cs="Times New Roman"/>
          <w:sz w:val="24"/>
          <w:szCs w:val="24"/>
        </w:rPr>
        <w:t>ar nustatytas reglamentavimas nesudaro papildomų sąlygų korupcijai, taip pat galimybių pasielgti nesąžiningai, neteisingai, neskaidriai</w:t>
      </w:r>
      <w:r>
        <w:rPr>
          <w:rFonts w:ascii="Times New Roman" w:hAnsi="Times New Roman" w:cs="Times New Roman"/>
          <w:sz w:val="24"/>
          <w:szCs w:val="24"/>
        </w:rPr>
        <w:t>;</w:t>
      </w:r>
    </w:p>
    <w:p w:rsidR="00CC3C68" w:rsidRDefault="00CC3C68" w:rsidP="00CC3C68">
      <w:pPr>
        <w:pStyle w:val="ListParagraph"/>
        <w:numPr>
          <w:ilvl w:val="2"/>
          <w:numId w:val="2"/>
        </w:numPr>
        <w:tabs>
          <w:tab w:val="left" w:pos="1276"/>
          <w:tab w:val="left" w:pos="1560"/>
        </w:tabs>
        <w:ind w:left="0" w:firstLine="851"/>
        <w:jc w:val="both"/>
        <w:rPr>
          <w:rFonts w:ascii="Times New Roman" w:hAnsi="Times New Roman" w:cs="Times New Roman"/>
          <w:sz w:val="24"/>
          <w:szCs w:val="24"/>
        </w:rPr>
      </w:pPr>
      <w:r w:rsidRPr="009604D7">
        <w:rPr>
          <w:rFonts w:ascii="Times New Roman" w:hAnsi="Times New Roman" w:cs="Times New Roman"/>
          <w:sz w:val="24"/>
          <w:szCs w:val="24"/>
        </w:rPr>
        <w:t>ar nenustatytos, numatomos išskirtinės ar nevienodos sąlygos konkrečioje srityje veikiantiems subjektams</w:t>
      </w:r>
      <w:r>
        <w:rPr>
          <w:rFonts w:ascii="Times New Roman" w:hAnsi="Times New Roman" w:cs="Times New Roman"/>
          <w:sz w:val="24"/>
          <w:szCs w:val="24"/>
        </w:rPr>
        <w:t>;</w:t>
      </w:r>
    </w:p>
    <w:p w:rsidR="00CC3C68" w:rsidRDefault="00CC3C68" w:rsidP="00CC3C68">
      <w:pPr>
        <w:pStyle w:val="ListParagraph"/>
        <w:numPr>
          <w:ilvl w:val="2"/>
          <w:numId w:val="2"/>
        </w:numPr>
        <w:tabs>
          <w:tab w:val="left" w:pos="1276"/>
          <w:tab w:val="left" w:pos="1560"/>
          <w:tab w:val="left" w:pos="1701"/>
        </w:tabs>
        <w:ind w:left="0" w:firstLine="851"/>
        <w:jc w:val="both"/>
        <w:rPr>
          <w:rFonts w:ascii="Times New Roman" w:hAnsi="Times New Roman" w:cs="Times New Roman"/>
          <w:sz w:val="24"/>
          <w:szCs w:val="24"/>
        </w:rPr>
      </w:pPr>
      <w:r w:rsidRPr="009604D7">
        <w:rPr>
          <w:rFonts w:ascii="Times New Roman" w:hAnsi="Times New Roman" w:cs="Times New Roman"/>
          <w:sz w:val="24"/>
          <w:szCs w:val="24"/>
        </w:rPr>
        <w:t>ar nustatyta skaidri sprendimo priėmimo procedūra</w:t>
      </w:r>
      <w:r>
        <w:rPr>
          <w:rFonts w:ascii="Times New Roman" w:hAnsi="Times New Roman" w:cs="Times New Roman"/>
          <w:sz w:val="24"/>
          <w:szCs w:val="24"/>
        </w:rPr>
        <w:t>;</w:t>
      </w:r>
    </w:p>
    <w:p w:rsidR="00CC3C68" w:rsidRDefault="00CC3C68" w:rsidP="00CC3C68">
      <w:pPr>
        <w:pStyle w:val="ListParagraph"/>
        <w:numPr>
          <w:ilvl w:val="2"/>
          <w:numId w:val="2"/>
        </w:numPr>
        <w:tabs>
          <w:tab w:val="left" w:pos="1134"/>
          <w:tab w:val="left" w:pos="1560"/>
          <w:tab w:val="left" w:pos="1701"/>
        </w:tabs>
        <w:ind w:left="0" w:firstLine="851"/>
        <w:jc w:val="both"/>
        <w:rPr>
          <w:rFonts w:ascii="Times New Roman" w:hAnsi="Times New Roman" w:cs="Times New Roman"/>
          <w:sz w:val="24"/>
          <w:szCs w:val="24"/>
        </w:rPr>
      </w:pPr>
      <w:r w:rsidRPr="009604D7">
        <w:rPr>
          <w:rFonts w:ascii="Times New Roman" w:hAnsi="Times New Roman" w:cs="Times New Roman"/>
          <w:sz w:val="24"/>
          <w:szCs w:val="24"/>
        </w:rPr>
        <w:t>ar tinkamai nustatytos supažindinimo bei informavimo su teisės aktu (pakeitimu) nuostatos</w:t>
      </w:r>
      <w:r>
        <w:rPr>
          <w:rFonts w:ascii="Times New Roman" w:hAnsi="Times New Roman" w:cs="Times New Roman"/>
          <w:sz w:val="24"/>
          <w:szCs w:val="24"/>
        </w:rPr>
        <w:t>;</w:t>
      </w:r>
    </w:p>
    <w:p w:rsidR="00CC3C68" w:rsidRPr="00912F61" w:rsidRDefault="00CC3C68" w:rsidP="00CC3C68">
      <w:pPr>
        <w:pStyle w:val="ListParagraph"/>
        <w:numPr>
          <w:ilvl w:val="2"/>
          <w:numId w:val="2"/>
        </w:numPr>
        <w:tabs>
          <w:tab w:val="left" w:pos="1134"/>
          <w:tab w:val="left" w:pos="1560"/>
          <w:tab w:val="left" w:pos="1701"/>
        </w:tabs>
        <w:ind w:left="0" w:firstLine="851"/>
        <w:jc w:val="both"/>
        <w:rPr>
          <w:rFonts w:ascii="Times New Roman" w:hAnsi="Times New Roman" w:cs="Times New Roman"/>
          <w:sz w:val="24"/>
          <w:szCs w:val="24"/>
        </w:rPr>
      </w:pPr>
      <w:r w:rsidRPr="009604D7">
        <w:rPr>
          <w:rFonts w:ascii="Times New Roman" w:hAnsi="Times New Roman" w:cs="Times New Roman"/>
          <w:sz w:val="24"/>
          <w:szCs w:val="24"/>
        </w:rPr>
        <w:t>ar tinkamai nustatytos teisės akto paskelbimo nuostatos.</w:t>
      </w:r>
    </w:p>
    <w:p w:rsidR="00CC3C68" w:rsidRPr="00A01DAC" w:rsidRDefault="00CC3C68" w:rsidP="00CC3C68">
      <w:pPr>
        <w:pStyle w:val="ListParagraph"/>
        <w:numPr>
          <w:ilvl w:val="0"/>
          <w:numId w:val="1"/>
        </w:numPr>
        <w:tabs>
          <w:tab w:val="clear" w:pos="1211"/>
          <w:tab w:val="left" w:pos="993"/>
          <w:tab w:val="left" w:pos="1134"/>
        </w:tabs>
        <w:spacing w:after="0"/>
        <w:ind w:left="0" w:firstLine="851"/>
        <w:jc w:val="both"/>
        <w:rPr>
          <w:rFonts w:ascii="Times New Roman" w:eastAsia="Times New Roman" w:hAnsi="Times New Roman" w:cs="Times New Roman"/>
          <w:sz w:val="24"/>
          <w:szCs w:val="24"/>
        </w:rPr>
      </w:pPr>
      <w:r w:rsidRPr="00A01DAC">
        <w:rPr>
          <w:rFonts w:ascii="Times New Roman" w:eastAsia="Times New Roman" w:hAnsi="Times New Roman" w:cs="Times New Roman"/>
          <w:sz w:val="24"/>
          <w:szCs w:val="24"/>
        </w:rPr>
        <w:t>Vertintojas turi teisę:</w:t>
      </w:r>
    </w:p>
    <w:p w:rsidR="00CC3C68" w:rsidRPr="007C64E1" w:rsidRDefault="00CC3C68" w:rsidP="00CC3C68">
      <w:pPr>
        <w:pStyle w:val="ListParagraph"/>
        <w:numPr>
          <w:ilvl w:val="1"/>
          <w:numId w:val="1"/>
        </w:numPr>
        <w:tabs>
          <w:tab w:val="clear" w:pos="1778"/>
          <w:tab w:val="left" w:pos="851"/>
          <w:tab w:val="left" w:pos="993"/>
          <w:tab w:val="left" w:pos="1134"/>
          <w:tab w:val="left" w:pos="1418"/>
        </w:tabs>
        <w:ind w:hanging="927"/>
        <w:jc w:val="both"/>
        <w:rPr>
          <w:rFonts w:ascii="Times New Roman" w:hAnsi="Times New Roman" w:cs="Times New Roman"/>
          <w:sz w:val="24"/>
          <w:szCs w:val="24"/>
        </w:rPr>
      </w:pPr>
      <w:r w:rsidRPr="009604D7">
        <w:rPr>
          <w:rFonts w:ascii="Times New Roman" w:hAnsi="Times New Roman" w:cs="Times New Roman"/>
          <w:sz w:val="24"/>
          <w:szCs w:val="24"/>
        </w:rPr>
        <w:t>gauti vertinamo teisės akto projekto lydimąją medžiagą;</w:t>
      </w:r>
    </w:p>
    <w:p w:rsidR="00CC3C68" w:rsidRPr="009604D7" w:rsidRDefault="00CC3C68" w:rsidP="00CC3C68">
      <w:pPr>
        <w:pStyle w:val="ListParagraph"/>
        <w:numPr>
          <w:ilvl w:val="1"/>
          <w:numId w:val="1"/>
        </w:numPr>
        <w:tabs>
          <w:tab w:val="clear" w:pos="1778"/>
          <w:tab w:val="left" w:pos="1418"/>
        </w:tabs>
        <w:ind w:left="0" w:firstLine="851"/>
      </w:pPr>
      <w:r w:rsidRPr="007C64E1">
        <w:rPr>
          <w:rFonts w:ascii="Times New Roman" w:hAnsi="Times New Roman" w:cs="Times New Roman"/>
          <w:sz w:val="24"/>
          <w:szCs w:val="24"/>
        </w:rPr>
        <w:t>konsultuotis su teisės akto rengėju (-</w:t>
      </w:r>
      <w:proofErr w:type="spellStart"/>
      <w:r w:rsidRPr="007C64E1">
        <w:rPr>
          <w:rFonts w:ascii="Times New Roman" w:hAnsi="Times New Roman" w:cs="Times New Roman"/>
          <w:sz w:val="24"/>
          <w:szCs w:val="24"/>
        </w:rPr>
        <w:t>ais</w:t>
      </w:r>
      <w:proofErr w:type="spellEnd"/>
      <w:r w:rsidRPr="007C64E1">
        <w:rPr>
          <w:rFonts w:ascii="Times New Roman" w:hAnsi="Times New Roman" w:cs="Times New Roman"/>
          <w:sz w:val="24"/>
          <w:szCs w:val="24"/>
        </w:rPr>
        <w:t>), gauti jo (jų) paaiškinimus dėl teisės akto projekto turinio, rengimo iniciatyvos, procedūros</w:t>
      </w:r>
      <w:r>
        <w:rPr>
          <w:rFonts w:ascii="Times New Roman" w:hAnsi="Times New Roman" w:cs="Times New Roman"/>
          <w:sz w:val="24"/>
          <w:szCs w:val="24"/>
        </w:rPr>
        <w:t>;</w:t>
      </w:r>
    </w:p>
    <w:p w:rsidR="00CC3C68" w:rsidRPr="00A3768F" w:rsidRDefault="00CC3C68" w:rsidP="00CC3C68">
      <w:pPr>
        <w:pStyle w:val="ListParagraph"/>
        <w:numPr>
          <w:ilvl w:val="1"/>
          <w:numId w:val="1"/>
        </w:numPr>
        <w:tabs>
          <w:tab w:val="clear" w:pos="1778"/>
          <w:tab w:val="left" w:pos="1418"/>
        </w:tabs>
        <w:ind w:left="0" w:firstLine="851"/>
      </w:pPr>
      <w:r w:rsidRPr="00912F61">
        <w:rPr>
          <w:rFonts w:ascii="Times New Roman" w:eastAsia="Times New Roman" w:hAnsi="Times New Roman" w:cs="Times New Roman"/>
          <w:sz w:val="24"/>
          <w:szCs w:val="24"/>
        </w:rPr>
        <w:t xml:space="preserve">kreiptis į kitus CPVA </w:t>
      </w:r>
      <w:r w:rsidRPr="00C35A34">
        <w:rPr>
          <w:rFonts w:ascii="Times New Roman" w:eastAsia="Times New Roman" w:hAnsi="Times New Roman" w:cs="Times New Roman"/>
          <w:sz w:val="24"/>
          <w:szCs w:val="24"/>
        </w:rPr>
        <w:t>padalinius</w:t>
      </w:r>
      <w:r w:rsidRPr="00912F61">
        <w:rPr>
          <w:rFonts w:ascii="Times New Roman" w:eastAsia="Times New Roman" w:hAnsi="Times New Roman" w:cs="Times New Roman"/>
          <w:sz w:val="24"/>
          <w:szCs w:val="24"/>
        </w:rPr>
        <w:t xml:space="preserve"> dėl papildomos informacijos (pagalbos) suteikimo.</w:t>
      </w:r>
    </w:p>
    <w:p w:rsidR="00CC3C68" w:rsidRPr="008156F0" w:rsidRDefault="00CC3C68" w:rsidP="00CC3C68">
      <w:pPr>
        <w:tabs>
          <w:tab w:val="left" w:pos="851"/>
          <w:tab w:val="left" w:pos="1134"/>
        </w:tabs>
        <w:jc w:val="both"/>
      </w:pPr>
    </w:p>
    <w:p w:rsidR="00CC3C68" w:rsidRPr="001F0316" w:rsidRDefault="00CC3C68" w:rsidP="00CC3C68">
      <w:pPr>
        <w:jc w:val="both"/>
        <w:rPr>
          <w:b/>
          <w:i/>
        </w:rPr>
      </w:pPr>
      <w:r w:rsidRPr="001F0316">
        <w:rPr>
          <w:b/>
          <w:i/>
        </w:rPr>
        <w:t>CPVA veiklą reglamentuojančių vidaus administravimo teisės aktų projektų a</w:t>
      </w:r>
      <w:r>
        <w:rPr>
          <w:b/>
          <w:i/>
        </w:rPr>
        <w:t>ntikorupcinio vertinimo</w:t>
      </w:r>
      <w:r w:rsidRPr="001F0316">
        <w:rPr>
          <w:b/>
          <w:i/>
        </w:rPr>
        <w:t xml:space="preserve"> tvarka</w:t>
      </w:r>
    </w:p>
    <w:p w:rsidR="00CC3C68" w:rsidRPr="00F255D2" w:rsidRDefault="00CC3C68" w:rsidP="00CC3C68">
      <w:pPr>
        <w:tabs>
          <w:tab w:val="num" w:pos="1260"/>
        </w:tabs>
        <w:jc w:val="both"/>
        <w:rPr>
          <w:sz w:val="16"/>
          <w:szCs w:val="16"/>
        </w:rPr>
      </w:pPr>
    </w:p>
    <w:p w:rsidR="00CC3C68" w:rsidRDefault="00CC3C68" w:rsidP="00CC3C68">
      <w:pPr>
        <w:numPr>
          <w:ilvl w:val="0"/>
          <w:numId w:val="1"/>
        </w:numPr>
        <w:tabs>
          <w:tab w:val="num" w:pos="1260"/>
        </w:tabs>
        <w:ind w:left="0" w:firstLine="900"/>
        <w:jc w:val="both"/>
      </w:pPr>
      <w:r>
        <w:t xml:space="preserve"> Teisės aktų projektai antikorupciniam vertinimui pateikiami KUS VT, jeigu CPVA D nėra pavedęs teisės akto projekto antikorupcinį vertinimą atlikti kitam CPVA darbuotojui, darbo grupei, padaliniui,  per DVS, kai visi derinimo etape įtraukti derintojai yra suderinę teisės akto projektą DVS. </w:t>
      </w:r>
    </w:p>
    <w:p w:rsidR="00CC3C68" w:rsidRDefault="00CC3C68" w:rsidP="00CC3C68">
      <w:pPr>
        <w:numPr>
          <w:ilvl w:val="0"/>
          <w:numId w:val="1"/>
        </w:numPr>
        <w:tabs>
          <w:tab w:val="num" w:pos="1260"/>
        </w:tabs>
        <w:ind w:left="0" w:firstLine="900"/>
        <w:jc w:val="both"/>
      </w:pPr>
      <w:r>
        <w:t xml:space="preserve"> </w:t>
      </w:r>
      <w:r w:rsidRPr="003B03F9">
        <w:t>Teisės akto projekto</w:t>
      </w:r>
      <w:r>
        <w:t xml:space="preserve"> tiesioginis</w:t>
      </w:r>
      <w:r w:rsidRPr="003B03F9">
        <w:t xml:space="preserve"> rengėjas, teikdamas teisės akto projektą antikorupciniam vertinimui, turi nustatyti ne trumpesnį nei </w:t>
      </w:r>
      <w:r>
        <w:t>3</w:t>
      </w:r>
      <w:r w:rsidRPr="003B03F9">
        <w:t xml:space="preserve"> d</w:t>
      </w:r>
      <w:r>
        <w:t>arbo dienų terminą, per kurį vertintojas</w:t>
      </w:r>
      <w:r w:rsidRPr="003B03F9">
        <w:t xml:space="preserve"> atlieka teisės akto projekto antikorupcinį vertinimą.</w:t>
      </w:r>
    </w:p>
    <w:p w:rsidR="00CC3C68" w:rsidRDefault="00CC3C68" w:rsidP="00CC3C68">
      <w:pPr>
        <w:numPr>
          <w:ilvl w:val="0"/>
          <w:numId w:val="1"/>
        </w:numPr>
        <w:tabs>
          <w:tab w:val="num" w:pos="1260"/>
        </w:tabs>
        <w:ind w:left="0" w:firstLine="900"/>
        <w:jc w:val="both"/>
      </w:pPr>
      <w:r>
        <w:t xml:space="preserve"> Vertintojas</w:t>
      </w:r>
      <w:r w:rsidRPr="003B03F9">
        <w:t xml:space="preserve">, atlikęs teisės akto projekto antikorupcinį vertinimą ir </w:t>
      </w:r>
      <w:r w:rsidRPr="009053E0">
        <w:rPr>
          <w:i/>
        </w:rPr>
        <w:t>nustatęs teisės akto projekto trūkumų antikorupciniu požiūriu</w:t>
      </w:r>
      <w:r w:rsidRPr="003B03F9">
        <w:t>, įrašo komentarą DVS dokumento rengimo aplinkos kortelėje</w:t>
      </w:r>
      <w:r>
        <w:t>/teisės akto projekte</w:t>
      </w:r>
      <w:r w:rsidRPr="003B03F9">
        <w:t xml:space="preserve">. Tokiu atveju, teisės akto projekto </w:t>
      </w:r>
      <w:r>
        <w:t xml:space="preserve">tiesioginis </w:t>
      </w:r>
      <w:r w:rsidRPr="003B03F9">
        <w:t>rengėj</w:t>
      </w:r>
      <w:r>
        <w:t>as,</w:t>
      </w:r>
      <w:r w:rsidRPr="003729B0">
        <w:t xml:space="preserve"> įvertinęs vertintojo nustatytus teisės akto projekto trūkumus antikorupciniu požiūriu, patikslina teisės akto projektą pagal vertintojo pastabas ir pasiūlymus</w:t>
      </w:r>
      <w:r>
        <w:t xml:space="preserve"> ir galutinį teisės akto projektą</w:t>
      </w:r>
      <w:r w:rsidRPr="003B03F9">
        <w:t xml:space="preserve"> turi suderin</w:t>
      </w:r>
      <w:r>
        <w:t>ti su vertintoju</w:t>
      </w:r>
      <w:r w:rsidRPr="003B03F9">
        <w:t xml:space="preserve"> DVS vizavimo etape (jeigu nustatyti teisės akto trūkumai antikorupciniu požiūriu). </w:t>
      </w:r>
    </w:p>
    <w:p w:rsidR="00CC3C68" w:rsidRDefault="00CC3C68" w:rsidP="00CC3C68">
      <w:pPr>
        <w:numPr>
          <w:ilvl w:val="0"/>
          <w:numId w:val="1"/>
        </w:numPr>
        <w:tabs>
          <w:tab w:val="num" w:pos="1260"/>
        </w:tabs>
        <w:ind w:left="0" w:firstLine="900"/>
        <w:jc w:val="both"/>
      </w:pPr>
      <w:r>
        <w:t xml:space="preserve">Teisės akto projekto tiesioginiam rengėjui nesutikus su vertintojo nustatytais teisės akto projekto trūkumais antikorupciniu požiūriu, teisės akto projekto tiesioginis rengėjas pateikia vertintojui per DVS laisvos formos pažymoje </w:t>
      </w:r>
      <w:r w:rsidRPr="00890A1F">
        <w:t>savo argumentus dėl vertintojo pateiktų pastabų ir pasiūlymų, su kuriais nesutin</w:t>
      </w:r>
      <w:r>
        <w:t xml:space="preserve">ka, taip pat pateikia </w:t>
      </w:r>
      <w:r w:rsidRPr="00890A1F">
        <w:t>patikslintą teisės akto projektą vertintojui</w:t>
      </w:r>
      <w:r>
        <w:t>.</w:t>
      </w:r>
    </w:p>
    <w:p w:rsidR="00CC3C68" w:rsidRDefault="00CC3C68" w:rsidP="00CC3C68">
      <w:pPr>
        <w:numPr>
          <w:ilvl w:val="0"/>
          <w:numId w:val="1"/>
        </w:numPr>
        <w:tabs>
          <w:tab w:val="num" w:pos="1260"/>
        </w:tabs>
        <w:ind w:left="0" w:firstLine="900"/>
        <w:jc w:val="both"/>
      </w:pPr>
      <w:r>
        <w:lastRenderedPageBreak/>
        <w:t xml:space="preserve"> Vertintojas šio Aprašo </w:t>
      </w:r>
      <w:r>
        <w:rPr>
          <w:lang w:val="en-US"/>
        </w:rPr>
        <w:t xml:space="preserve">19 </w:t>
      </w:r>
      <w:r w:rsidRPr="00236B4F">
        <w:t>punkte nurodytoje pažymoje</w:t>
      </w:r>
      <w:r w:rsidRPr="0038413E">
        <w:t xml:space="preserve"> pažymi, ar teisės akto projekto rengėjo pataisų pakanka korupcijos atsiradimo rizikai mažinti. Nuostatas, kurių pataisymų,</w:t>
      </w:r>
      <w:r>
        <w:t xml:space="preserve"> vertintojo nuomone, nepakanka </w:t>
      </w:r>
      <w:r w:rsidRPr="0038413E">
        <w:t>ir konkrečius jų vertinimo kriterijus vertinto</w:t>
      </w:r>
      <w:r>
        <w:t>jas išvardija minėtoje pažymoje.</w:t>
      </w:r>
    </w:p>
    <w:p w:rsidR="00CC3C68" w:rsidRDefault="00CC3C68" w:rsidP="00CC3C68">
      <w:pPr>
        <w:numPr>
          <w:ilvl w:val="0"/>
          <w:numId w:val="1"/>
        </w:numPr>
        <w:tabs>
          <w:tab w:val="num" w:pos="1260"/>
        </w:tabs>
        <w:ind w:left="0" w:firstLine="900"/>
        <w:jc w:val="both"/>
      </w:pPr>
      <w:r w:rsidRPr="00BE1C11">
        <w:t xml:space="preserve">Vertintojo ir teisės akto projekto </w:t>
      </w:r>
      <w:r>
        <w:t xml:space="preserve">tiesioginio </w:t>
      </w:r>
      <w:r w:rsidRPr="00BE1C11">
        <w:t>rengėjo užpi</w:t>
      </w:r>
      <w:r>
        <w:t xml:space="preserve">ldyta pažyma pagal šio Aprašo </w:t>
      </w:r>
      <w:r>
        <w:rPr>
          <w:lang w:val="en-US"/>
        </w:rPr>
        <w:t>19-20</w:t>
      </w:r>
      <w:r w:rsidRPr="00BE1C11">
        <w:rPr>
          <w:lang w:val="en-US"/>
        </w:rPr>
        <w:t xml:space="preserve"> </w:t>
      </w:r>
      <w:proofErr w:type="spellStart"/>
      <w:r w:rsidRPr="00BE1C11">
        <w:rPr>
          <w:lang w:val="en-US"/>
        </w:rPr>
        <w:t>punktus</w:t>
      </w:r>
      <w:proofErr w:type="spellEnd"/>
      <w:r w:rsidRPr="00BE1C11">
        <w:t xml:space="preserve"> kartu su teisės akto projektu pateikiama CPVA D</w:t>
      </w:r>
      <w:r>
        <w:t>/DP/V</w:t>
      </w:r>
      <w:r w:rsidRPr="00BE1C11">
        <w:t xml:space="preserve"> per DVS.</w:t>
      </w:r>
      <w:r>
        <w:t xml:space="preserve"> </w:t>
      </w:r>
      <w:r w:rsidRPr="009053E0">
        <w:t>CPVA D</w:t>
      </w:r>
      <w:r w:rsidRPr="00C7543E">
        <w:t>/DP</w:t>
      </w:r>
      <w:r>
        <w:t>/V</w:t>
      </w:r>
      <w:r w:rsidRPr="009053E0">
        <w:t xml:space="preserve"> arba pasirašo tokį teisės akto projektą, arba savo rezoliucija paveda teisės akto projekto </w:t>
      </w:r>
      <w:r>
        <w:t xml:space="preserve">tiesioginiam </w:t>
      </w:r>
      <w:r w:rsidRPr="009053E0">
        <w:t>rengėjui toliau jį tobulinti.</w:t>
      </w:r>
      <w:r>
        <w:t xml:space="preserve"> Jeigu minėtu atveju CPVA DP/V ketina pasirašyti teisės akto projektą, kuris pagal vertintojo pateiktą išvadą turi trūkumų antikorupciniu požiūriu, tai  CPVA DP/V privalo informuoti elektroniniu laišku CPVA D apie tokį ketinimą. CPVA D priima galutinį sprendimą dėl leidimo CPVA DP/V pasirašyti teisės akto projektą, turintį trūkumų antikorupciniu požiūriu arba nurodo teisės akto projektą tobulinti.   </w:t>
      </w:r>
    </w:p>
    <w:p w:rsidR="00CC3C68" w:rsidRPr="009053E0" w:rsidRDefault="00CC3C68" w:rsidP="00CC3C68">
      <w:pPr>
        <w:tabs>
          <w:tab w:val="num" w:pos="1260"/>
        </w:tabs>
        <w:ind w:left="900"/>
        <w:jc w:val="both"/>
        <w:rPr>
          <w:sz w:val="16"/>
          <w:szCs w:val="16"/>
        </w:rPr>
      </w:pPr>
    </w:p>
    <w:p w:rsidR="00CC3C68" w:rsidRDefault="00CC3C68" w:rsidP="00CC3C68">
      <w:pPr>
        <w:numPr>
          <w:ilvl w:val="0"/>
          <w:numId w:val="1"/>
        </w:numPr>
        <w:tabs>
          <w:tab w:val="num" w:pos="1260"/>
        </w:tabs>
        <w:ind w:left="0" w:firstLine="900"/>
        <w:jc w:val="both"/>
      </w:pPr>
      <w:r w:rsidRPr="003B03F9">
        <w:t xml:space="preserve"> </w:t>
      </w:r>
      <w:r>
        <w:t>Vertintojas</w:t>
      </w:r>
      <w:r w:rsidRPr="003B03F9">
        <w:t xml:space="preserve">, atlikęs teisės akto projekto antikorupcinį vertinimą ir </w:t>
      </w:r>
      <w:r w:rsidRPr="009053E0">
        <w:rPr>
          <w:i/>
        </w:rPr>
        <w:t>nenustatęs teisės akto projekto trūkumų antikorupciniu požiūriu,</w:t>
      </w:r>
      <w:r>
        <w:t xml:space="preserve"> tai</w:t>
      </w:r>
      <w:r w:rsidRPr="003B03F9">
        <w:t xml:space="preserve"> pažymi DVS suderinimo etape. Šiuo atveju </w:t>
      </w:r>
      <w:r>
        <w:t>vertintojas</w:t>
      </w:r>
      <w:r w:rsidRPr="003B03F9">
        <w:t xml:space="preserve"> nėra įtraukiamas į DVS vizavimo etapą.</w:t>
      </w:r>
      <w:r>
        <w:t xml:space="preserve"> </w:t>
      </w:r>
    </w:p>
    <w:p w:rsidR="00CC3C68" w:rsidRDefault="00CC3C68" w:rsidP="00CC3C68">
      <w:pPr>
        <w:numPr>
          <w:ilvl w:val="0"/>
          <w:numId w:val="1"/>
        </w:numPr>
        <w:tabs>
          <w:tab w:val="num" w:pos="1260"/>
        </w:tabs>
        <w:ind w:left="0" w:firstLine="900"/>
        <w:jc w:val="both"/>
      </w:pPr>
      <w:r>
        <w:t xml:space="preserve"> Teisės akto projekto tiesioginiam rengėjui draudžiama koreguoti teisės akto projektą po suderinimo su vertintoju, jeigu atliekami tokie veiksmai, tai </w:t>
      </w:r>
      <w:r w:rsidRPr="001F440E">
        <w:t xml:space="preserve">teisės akto projekto </w:t>
      </w:r>
      <w:r>
        <w:t xml:space="preserve">tiesioginis </w:t>
      </w:r>
      <w:r w:rsidRPr="001F440E">
        <w:t>rengėjas privalo iš naujo suderinti teisės akto projekt</w:t>
      </w:r>
      <w:r>
        <w:t>ą su vertintoju.</w:t>
      </w:r>
    </w:p>
    <w:p w:rsidR="00CC3C68" w:rsidRPr="00B70B9B" w:rsidRDefault="00CC3C68" w:rsidP="00CC3C68">
      <w:pPr>
        <w:tabs>
          <w:tab w:val="num" w:pos="1260"/>
        </w:tabs>
        <w:ind w:left="900"/>
        <w:jc w:val="both"/>
        <w:rPr>
          <w:sz w:val="16"/>
          <w:szCs w:val="16"/>
        </w:rPr>
      </w:pPr>
    </w:p>
    <w:p w:rsidR="00CC3C68" w:rsidRPr="0063758E" w:rsidRDefault="00CC3C68" w:rsidP="00CC3C68">
      <w:pPr>
        <w:tabs>
          <w:tab w:val="num" w:pos="1260"/>
        </w:tabs>
        <w:jc w:val="both"/>
        <w:rPr>
          <w:b/>
          <w:i/>
        </w:rPr>
      </w:pPr>
      <w:r w:rsidRPr="0063758E">
        <w:rPr>
          <w:b/>
          <w:i/>
        </w:rPr>
        <w:t>CPVA teisės aktų projektų pateikimo antikorupciniam vertinimui, kurie skirti išorės subjektams, tvarka:</w:t>
      </w:r>
    </w:p>
    <w:p w:rsidR="00CC3C68" w:rsidRPr="00B70B9B" w:rsidRDefault="00CC3C68" w:rsidP="00CC3C68">
      <w:pPr>
        <w:tabs>
          <w:tab w:val="num" w:pos="1260"/>
        </w:tabs>
        <w:jc w:val="both"/>
        <w:rPr>
          <w:bCs/>
          <w:sz w:val="16"/>
          <w:szCs w:val="16"/>
        </w:rPr>
      </w:pPr>
    </w:p>
    <w:p w:rsidR="00CC3C68" w:rsidRDefault="00CC3C68" w:rsidP="00CC3C68">
      <w:pPr>
        <w:numPr>
          <w:ilvl w:val="0"/>
          <w:numId w:val="1"/>
        </w:numPr>
        <w:tabs>
          <w:tab w:val="num" w:pos="1260"/>
        </w:tabs>
        <w:ind w:left="0" w:firstLine="900"/>
        <w:jc w:val="both"/>
        <w:rPr>
          <w:bCs/>
        </w:rPr>
      </w:pPr>
      <w:r>
        <w:rPr>
          <w:bCs/>
        </w:rPr>
        <w:t xml:space="preserve"> </w:t>
      </w:r>
      <w:r w:rsidRPr="0063758E">
        <w:rPr>
          <w:bCs/>
        </w:rPr>
        <w:t xml:space="preserve">Teisės aktų projektai antikorupciniam vertinimui pateikiami KUS </w:t>
      </w:r>
      <w:r>
        <w:rPr>
          <w:bCs/>
        </w:rPr>
        <w:t>VT</w:t>
      </w:r>
      <w:r w:rsidRPr="0063758E">
        <w:rPr>
          <w:bCs/>
        </w:rPr>
        <w:t>, jeigu CPVA D nėra pavedęs teisės akto projekto antikorupcinį vertinimą atlikti kitam CPVA darbuotojui, darbo grupei, padaliniui, per DVS, kai visi derinimo etape įtraukti derintojai yra suderinę teisės akto projektą DVS.</w:t>
      </w:r>
    </w:p>
    <w:p w:rsidR="00CC3C68" w:rsidRPr="00466750" w:rsidRDefault="00CC3C68" w:rsidP="00CC3C68">
      <w:pPr>
        <w:numPr>
          <w:ilvl w:val="0"/>
          <w:numId w:val="1"/>
        </w:numPr>
        <w:tabs>
          <w:tab w:val="num" w:pos="1260"/>
        </w:tabs>
        <w:ind w:left="0" w:firstLine="900"/>
        <w:jc w:val="both"/>
        <w:rPr>
          <w:bCs/>
        </w:rPr>
      </w:pPr>
      <w:r w:rsidRPr="00466750">
        <w:rPr>
          <w:bCs/>
        </w:rPr>
        <w:t>Teisės akto projekto</w:t>
      </w:r>
      <w:r>
        <w:rPr>
          <w:bCs/>
        </w:rPr>
        <w:t xml:space="preserve"> tiesioginis </w:t>
      </w:r>
      <w:r w:rsidRPr="00466750">
        <w:rPr>
          <w:bCs/>
        </w:rPr>
        <w:t xml:space="preserve">rengėjas, teikdamas teisės akto projektą antikorupciniam vertinimui, turi nustatyti </w:t>
      </w:r>
      <w:r w:rsidRPr="00892FFF">
        <w:rPr>
          <w:bCs/>
        </w:rPr>
        <w:t>ne trumpesnį nei 3 darbo dienų terminą, per kurį vertintojas, atlieka teisės akto projekto antikorupcinį vertinimą ir užpildo</w:t>
      </w:r>
      <w:r w:rsidRPr="00466750">
        <w:t xml:space="preserve"> </w:t>
      </w:r>
      <w:r w:rsidRPr="00466750">
        <w:rPr>
          <w:bCs/>
        </w:rPr>
        <w:t xml:space="preserve">Teisės aktų projektų antikorupcinio vertinimo taisyklių priede patvirtintos formos antikorupcinio vertinimo pažymą (toliau – pažyma). Jeigu teisės akto projektas yra </w:t>
      </w:r>
      <w:r w:rsidRPr="00C7543E">
        <w:rPr>
          <w:bCs/>
        </w:rPr>
        <w:t>didelės apimties</w:t>
      </w:r>
      <w:r>
        <w:rPr>
          <w:bCs/>
        </w:rPr>
        <w:t xml:space="preserve"> (teisės akto projekto (priedų) apimtis daugiau nei 10 lapų)</w:t>
      </w:r>
      <w:r w:rsidRPr="00466750">
        <w:rPr>
          <w:bCs/>
        </w:rPr>
        <w:t xml:space="preserve">, tai teisės akto projekto rengėjas turi nustatyti ne trumpesnį nei </w:t>
      </w:r>
      <w:r w:rsidRPr="00466750">
        <w:rPr>
          <w:bCs/>
          <w:lang w:val="en-US"/>
        </w:rPr>
        <w:t xml:space="preserve">5 </w:t>
      </w:r>
      <w:r w:rsidRPr="00466750">
        <w:rPr>
          <w:bCs/>
        </w:rPr>
        <w:t>darbo dienų terminą vertintojui įvertinti teisės akto projektą antikorupciniu požiūriu.</w:t>
      </w:r>
    </w:p>
    <w:p w:rsidR="00CC3C68" w:rsidRPr="009053E0" w:rsidRDefault="00CC3C68" w:rsidP="00CC3C68">
      <w:pPr>
        <w:tabs>
          <w:tab w:val="num" w:pos="1260"/>
        </w:tabs>
        <w:ind w:left="900"/>
        <w:jc w:val="both"/>
        <w:rPr>
          <w:bCs/>
          <w:sz w:val="16"/>
          <w:szCs w:val="16"/>
        </w:rPr>
      </w:pPr>
    </w:p>
    <w:p w:rsidR="00CC3C68" w:rsidRDefault="00CC3C68" w:rsidP="00CC3C68">
      <w:pPr>
        <w:numPr>
          <w:ilvl w:val="0"/>
          <w:numId w:val="1"/>
        </w:numPr>
        <w:tabs>
          <w:tab w:val="num" w:pos="1260"/>
        </w:tabs>
        <w:ind w:left="0" w:firstLine="900"/>
        <w:jc w:val="both"/>
        <w:rPr>
          <w:bCs/>
        </w:rPr>
      </w:pPr>
      <w:r w:rsidRPr="00723E74">
        <w:rPr>
          <w:bCs/>
        </w:rPr>
        <w:t xml:space="preserve"> </w:t>
      </w:r>
      <w:r>
        <w:rPr>
          <w:bCs/>
        </w:rPr>
        <w:t>Vertintojas, a</w:t>
      </w:r>
      <w:r w:rsidRPr="00723E74">
        <w:rPr>
          <w:bCs/>
        </w:rPr>
        <w:t xml:space="preserve">tlikęs teisės akto projekto antikorupcinį vertinimą ir </w:t>
      </w:r>
      <w:r w:rsidRPr="009053E0">
        <w:rPr>
          <w:bCs/>
          <w:i/>
        </w:rPr>
        <w:t>nenustatęs teisės akto projekto trūkumų antikorupciniu požiūriu</w:t>
      </w:r>
      <w:r>
        <w:rPr>
          <w:bCs/>
        </w:rPr>
        <w:t>,</w:t>
      </w:r>
      <w:r w:rsidRPr="00723E74">
        <w:rPr>
          <w:bCs/>
        </w:rPr>
        <w:t xml:space="preserve"> užpildo</w:t>
      </w:r>
      <w:r>
        <w:rPr>
          <w:bCs/>
        </w:rPr>
        <w:t xml:space="preserve"> ir pasirašo pažymą  bei ją </w:t>
      </w:r>
      <w:r w:rsidRPr="009F43C6">
        <w:rPr>
          <w:bCs/>
        </w:rPr>
        <w:t>pateikia</w:t>
      </w:r>
      <w:r>
        <w:rPr>
          <w:bCs/>
        </w:rPr>
        <w:t xml:space="preserve"> teisės akto projekto tiesioginiam rengėjui</w:t>
      </w:r>
      <w:r w:rsidRPr="009F43C6">
        <w:rPr>
          <w:bCs/>
        </w:rPr>
        <w:t xml:space="preserve"> per DVS, pridedant ją prie derinamo teisės akto projekto.</w:t>
      </w:r>
    </w:p>
    <w:p w:rsidR="00CC3C68" w:rsidRPr="009053E0" w:rsidRDefault="00CC3C68" w:rsidP="00CC3C68">
      <w:pPr>
        <w:tabs>
          <w:tab w:val="num" w:pos="1260"/>
        </w:tabs>
        <w:ind w:left="900"/>
        <w:jc w:val="both"/>
        <w:rPr>
          <w:bCs/>
          <w:sz w:val="16"/>
          <w:szCs w:val="16"/>
        </w:rPr>
      </w:pPr>
    </w:p>
    <w:p w:rsidR="00CC3C68" w:rsidRDefault="00CC3C68" w:rsidP="00CC3C68">
      <w:pPr>
        <w:numPr>
          <w:ilvl w:val="0"/>
          <w:numId w:val="1"/>
        </w:numPr>
        <w:tabs>
          <w:tab w:val="num" w:pos="1260"/>
        </w:tabs>
        <w:ind w:left="0" w:firstLine="900"/>
        <w:jc w:val="both"/>
        <w:rPr>
          <w:bCs/>
        </w:rPr>
      </w:pPr>
      <w:r>
        <w:rPr>
          <w:bCs/>
        </w:rPr>
        <w:t xml:space="preserve"> Vertintojas, a</w:t>
      </w:r>
      <w:r w:rsidRPr="0064636B">
        <w:rPr>
          <w:bCs/>
        </w:rPr>
        <w:t xml:space="preserve">tlikęs teisės akto projekto antikorupcinį vertinimą </w:t>
      </w:r>
      <w:r w:rsidRPr="009053E0">
        <w:rPr>
          <w:bCs/>
          <w:i/>
        </w:rPr>
        <w:t>ir nustatęs teisės akto projekto trūkumų antikorupciniu požiūriu</w:t>
      </w:r>
      <w:r>
        <w:rPr>
          <w:bCs/>
        </w:rPr>
        <w:t>, užpildo p</w:t>
      </w:r>
      <w:r w:rsidRPr="0064636B">
        <w:rPr>
          <w:bCs/>
        </w:rPr>
        <w:t>ažymą ir ne vėliau kai</w:t>
      </w:r>
      <w:r>
        <w:rPr>
          <w:bCs/>
        </w:rPr>
        <w:t xml:space="preserve">p kitą darbo dieną nuo Aprašo </w:t>
      </w:r>
      <w:r>
        <w:rPr>
          <w:bCs/>
          <w:lang w:val="en-US"/>
        </w:rPr>
        <w:t>25</w:t>
      </w:r>
      <w:r w:rsidRPr="0064636B">
        <w:rPr>
          <w:bCs/>
        </w:rPr>
        <w:t xml:space="preserve"> punkte nustatyto termino pabaigos ją pateikia </w:t>
      </w:r>
      <w:r>
        <w:rPr>
          <w:bCs/>
        </w:rPr>
        <w:t xml:space="preserve">per DVS </w:t>
      </w:r>
      <w:r w:rsidRPr="0064636B">
        <w:rPr>
          <w:bCs/>
        </w:rPr>
        <w:t xml:space="preserve">teisės akto projekto </w:t>
      </w:r>
      <w:r>
        <w:rPr>
          <w:bCs/>
        </w:rPr>
        <w:t xml:space="preserve">tiesioginiam </w:t>
      </w:r>
      <w:r w:rsidRPr="0064636B">
        <w:rPr>
          <w:bCs/>
        </w:rPr>
        <w:t>rengėjui.</w:t>
      </w:r>
    </w:p>
    <w:p w:rsidR="00CC3C68" w:rsidRDefault="00CC3C68" w:rsidP="00CC3C68">
      <w:pPr>
        <w:numPr>
          <w:ilvl w:val="0"/>
          <w:numId w:val="1"/>
        </w:numPr>
        <w:tabs>
          <w:tab w:val="num" w:pos="1260"/>
        </w:tabs>
        <w:ind w:left="0" w:firstLine="900"/>
        <w:jc w:val="both"/>
        <w:rPr>
          <w:bCs/>
        </w:rPr>
      </w:pPr>
      <w:r w:rsidRPr="00AF0B40">
        <w:rPr>
          <w:bCs/>
        </w:rPr>
        <w:t xml:space="preserve">Teisės akto projekto </w:t>
      </w:r>
      <w:r>
        <w:rPr>
          <w:bCs/>
        </w:rPr>
        <w:t xml:space="preserve">tiesioginis </w:t>
      </w:r>
      <w:r w:rsidRPr="00AF0B40">
        <w:rPr>
          <w:bCs/>
        </w:rPr>
        <w:t>rengėjas, įvertinęs vertintojo nustatytus teisės akto projekto trūkumus antikorupciniu požiūriu, patikslina teisės akto projektą pagal vertintojo pastabas ir pasiūlymus ir (arba) atitinkamoje pažymos grafoje pateikia savo argumentus dėl vertintojo pateiktų pastabų ir pasiūlymų, su kuriais nesutinka, taip pat pateikia pažymą ir patikslintą teisės akto projektą  per DVS vertintojui.</w:t>
      </w:r>
    </w:p>
    <w:p w:rsidR="00CC3C68" w:rsidRDefault="00CC3C68" w:rsidP="00CC3C68">
      <w:pPr>
        <w:numPr>
          <w:ilvl w:val="0"/>
          <w:numId w:val="1"/>
        </w:numPr>
        <w:tabs>
          <w:tab w:val="num" w:pos="1260"/>
        </w:tabs>
        <w:ind w:left="0" w:firstLine="900"/>
        <w:jc w:val="both"/>
        <w:rPr>
          <w:bCs/>
        </w:rPr>
      </w:pPr>
      <w:r w:rsidRPr="00AF0B40">
        <w:rPr>
          <w:bCs/>
        </w:rPr>
        <w:t xml:space="preserve">Vertintojas atitinkamoje pažymos grafoje pažymi, ar teisės akto projekto </w:t>
      </w:r>
      <w:r>
        <w:rPr>
          <w:bCs/>
        </w:rPr>
        <w:t xml:space="preserve">tiesioginio </w:t>
      </w:r>
      <w:r w:rsidRPr="00AF0B40">
        <w:rPr>
          <w:bCs/>
        </w:rPr>
        <w:t>rengėjo pataisų pakanka korupcijos atsiradimo rizikai mažinti. Nuostatas, kurių pataisymų, vertintojo nuomone, nepakanka, ir konkrečius jų vertinimo kriterijus vertintojas išvardija pažymos preambulėje.</w:t>
      </w:r>
    </w:p>
    <w:p w:rsidR="00CC3C68" w:rsidRPr="003626D0" w:rsidRDefault="00CC3C68" w:rsidP="00CC3C68">
      <w:pPr>
        <w:numPr>
          <w:ilvl w:val="0"/>
          <w:numId w:val="1"/>
        </w:numPr>
        <w:tabs>
          <w:tab w:val="num" w:pos="1260"/>
        </w:tabs>
        <w:ind w:left="0" w:firstLine="900"/>
        <w:jc w:val="both"/>
        <w:rPr>
          <w:bCs/>
        </w:rPr>
      </w:pPr>
      <w:r w:rsidRPr="009053E0">
        <w:rPr>
          <w:bCs/>
        </w:rPr>
        <w:t xml:space="preserve">Vertintojo ir teisės akto projekto rengėjo užpildyta pagal šio Aprašo </w:t>
      </w:r>
      <w:r w:rsidRPr="009053E0">
        <w:rPr>
          <w:bCs/>
          <w:lang w:val="en-US"/>
        </w:rPr>
        <w:t>27-2</w:t>
      </w:r>
      <w:r>
        <w:rPr>
          <w:bCs/>
          <w:lang w:val="en-US"/>
        </w:rPr>
        <w:t>9</w:t>
      </w:r>
      <w:r w:rsidRPr="009053E0">
        <w:rPr>
          <w:bCs/>
          <w:lang w:val="en-US"/>
        </w:rPr>
        <w:t xml:space="preserve"> </w:t>
      </w:r>
      <w:proofErr w:type="spellStart"/>
      <w:r w:rsidRPr="009053E0">
        <w:rPr>
          <w:bCs/>
          <w:lang w:val="en-US"/>
        </w:rPr>
        <w:t>punktus</w:t>
      </w:r>
      <w:proofErr w:type="spellEnd"/>
      <w:r w:rsidRPr="009053E0">
        <w:rPr>
          <w:bCs/>
          <w:lang w:val="en-US"/>
        </w:rPr>
        <w:t xml:space="preserve"> </w:t>
      </w:r>
      <w:r w:rsidRPr="009053E0">
        <w:rPr>
          <w:bCs/>
        </w:rPr>
        <w:t>pažyma kartu su teisės akto projektu pateikiama CPVA D</w:t>
      </w:r>
      <w:r w:rsidRPr="00C7543E">
        <w:rPr>
          <w:bCs/>
        </w:rPr>
        <w:t>/DP.</w:t>
      </w:r>
      <w:r w:rsidRPr="009053E0">
        <w:t xml:space="preserve"> </w:t>
      </w:r>
      <w:r w:rsidRPr="009053E0">
        <w:rPr>
          <w:bCs/>
        </w:rPr>
        <w:t>CPVA D/</w:t>
      </w:r>
      <w:r w:rsidRPr="00C7543E">
        <w:rPr>
          <w:bCs/>
        </w:rPr>
        <w:t>DP</w:t>
      </w:r>
      <w:r w:rsidRPr="009053E0">
        <w:rPr>
          <w:bCs/>
        </w:rPr>
        <w:t xml:space="preserve"> arba pasirašo tokį teisės </w:t>
      </w:r>
      <w:r w:rsidRPr="009053E0">
        <w:rPr>
          <w:bCs/>
        </w:rPr>
        <w:lastRenderedPageBreak/>
        <w:t>akto projektą, arba savo rezoliucija paveda teisės akto projekto rengėjui toliau jį tobulinti.</w:t>
      </w:r>
      <w:r>
        <w:rPr>
          <w:bCs/>
        </w:rPr>
        <w:t xml:space="preserve"> Jeigu minėtu atveju CPVA DP</w:t>
      </w:r>
      <w:r w:rsidRPr="003626D0">
        <w:rPr>
          <w:bCs/>
        </w:rPr>
        <w:t xml:space="preserve"> ketina pasirašyti teisės akto projektą, kuris pagal vertintojo pateiktą išvadą turi trūkumų antikor</w:t>
      </w:r>
      <w:r>
        <w:rPr>
          <w:bCs/>
        </w:rPr>
        <w:t>upciniu požiūriu, tai  CPVA DP</w:t>
      </w:r>
      <w:r w:rsidRPr="003626D0">
        <w:rPr>
          <w:bCs/>
        </w:rPr>
        <w:t xml:space="preserve"> privalo informuoti elektroniniu laišku CPVA D apie tokį ketinimą. CPVA D priima galutinį spren</w:t>
      </w:r>
      <w:r>
        <w:rPr>
          <w:bCs/>
        </w:rPr>
        <w:t>dimą dėl leidimo CPVA DP</w:t>
      </w:r>
      <w:r w:rsidRPr="003626D0">
        <w:rPr>
          <w:bCs/>
        </w:rPr>
        <w:t xml:space="preserve"> pasirašyti teisės akto projektą, turintį trūkumų antikorupciniu požiūriu arba nurodo teisės akto projektą tobulinti.   </w:t>
      </w:r>
    </w:p>
    <w:p w:rsidR="00CC3C68" w:rsidRPr="003B03F9" w:rsidRDefault="00CC3C68" w:rsidP="00CC3C68">
      <w:pPr>
        <w:numPr>
          <w:ilvl w:val="0"/>
          <w:numId w:val="1"/>
        </w:numPr>
        <w:tabs>
          <w:tab w:val="num" w:pos="1260"/>
        </w:tabs>
        <w:ind w:left="0" w:firstLine="900"/>
        <w:jc w:val="both"/>
        <w:rPr>
          <w:bCs/>
        </w:rPr>
      </w:pPr>
      <w:r w:rsidRPr="003B03F9">
        <w:rPr>
          <w:bCs/>
        </w:rPr>
        <w:t xml:space="preserve"> Teisės akto projekto rengėjas visais atvejais turi DVS suformuotoje užduotyje </w:t>
      </w:r>
      <w:r>
        <w:rPr>
          <w:bCs/>
        </w:rPr>
        <w:t>įtraukti vertintoj</w:t>
      </w:r>
      <w:r w:rsidRPr="003B03F9">
        <w:rPr>
          <w:bCs/>
        </w:rPr>
        <w:t>ą į DVS vizavimo etapą.</w:t>
      </w:r>
    </w:p>
    <w:p w:rsidR="00CC3C68" w:rsidRDefault="00CC3C68" w:rsidP="00CC3C68">
      <w:pPr>
        <w:numPr>
          <w:ilvl w:val="0"/>
          <w:numId w:val="1"/>
        </w:numPr>
        <w:tabs>
          <w:tab w:val="num" w:pos="1260"/>
        </w:tabs>
        <w:ind w:left="0" w:firstLine="900"/>
        <w:jc w:val="both"/>
        <w:rPr>
          <w:bCs/>
        </w:rPr>
      </w:pPr>
      <w:r w:rsidRPr="003B03F9">
        <w:rPr>
          <w:bCs/>
        </w:rPr>
        <w:t xml:space="preserve"> Kai </w:t>
      </w:r>
      <w:r>
        <w:rPr>
          <w:bCs/>
        </w:rPr>
        <w:t>vertintojas</w:t>
      </w:r>
      <w:r w:rsidRPr="003B03F9">
        <w:rPr>
          <w:bCs/>
        </w:rPr>
        <w:t xml:space="preserve"> DVS vizavimo etape nustato, kad po pateiktos pasirašytos a</w:t>
      </w:r>
      <w:r>
        <w:rPr>
          <w:bCs/>
        </w:rPr>
        <w:t xml:space="preserve">ntikorupcinio vertinimo pažymos, </w:t>
      </w:r>
      <w:r w:rsidRPr="003B03F9">
        <w:rPr>
          <w:bCs/>
        </w:rPr>
        <w:t>teisės akto projekto rengėjas (galimai kiti derintojai) yra korega</w:t>
      </w:r>
      <w:r>
        <w:rPr>
          <w:bCs/>
        </w:rPr>
        <w:t>vę teisės akto projektą</w:t>
      </w:r>
      <w:r w:rsidRPr="003B03F9">
        <w:rPr>
          <w:bCs/>
        </w:rPr>
        <w:t xml:space="preserve"> ir teisės akto projekte ats</w:t>
      </w:r>
      <w:r>
        <w:rPr>
          <w:bCs/>
        </w:rPr>
        <w:t>irado</w:t>
      </w:r>
      <w:r w:rsidRPr="003B03F9">
        <w:rPr>
          <w:bCs/>
        </w:rPr>
        <w:t xml:space="preserve"> naujų pagal nustatytus </w:t>
      </w:r>
      <w:r>
        <w:rPr>
          <w:bCs/>
        </w:rPr>
        <w:t xml:space="preserve">antikorupcinio vertinimo </w:t>
      </w:r>
      <w:r w:rsidRPr="003B03F9">
        <w:rPr>
          <w:bCs/>
        </w:rPr>
        <w:t xml:space="preserve">kriterijus nevertintinų nuostatų arba pakeičiamos antikorupciniu požiūriu jau vertintos teisės akto projekto nuostatos, arba kai teisės akto projekto nuostatos, kurioms nustatyti </w:t>
      </w:r>
      <w:r>
        <w:rPr>
          <w:bCs/>
        </w:rPr>
        <w:t xml:space="preserve">antikorupcinio vertinimo </w:t>
      </w:r>
      <w:r w:rsidRPr="003B03F9">
        <w:rPr>
          <w:bCs/>
        </w:rPr>
        <w:t xml:space="preserve">kriterijai nebuvo aktualūs antikorupcinį vertinimą atliekant pirmą kartą, pakeičiamos taip, kad minėti kriterijai tampa joms aktualūs, </w:t>
      </w:r>
      <w:r>
        <w:rPr>
          <w:bCs/>
        </w:rPr>
        <w:t>tada vertintojas</w:t>
      </w:r>
      <w:r w:rsidRPr="003B03F9">
        <w:rPr>
          <w:bCs/>
        </w:rPr>
        <w:t xml:space="preserve"> teisės akto projekto DVS nevizuoja ir teisės akto projekto rengėjas privalo iš na</w:t>
      </w:r>
      <w:r>
        <w:rPr>
          <w:bCs/>
        </w:rPr>
        <w:t>ujo suderinti teisės akto projektą su vertintoju.</w:t>
      </w:r>
    </w:p>
    <w:p w:rsidR="00CC3C68" w:rsidRPr="00822278" w:rsidRDefault="00CC3C68" w:rsidP="00CC3C68">
      <w:pPr>
        <w:numPr>
          <w:ilvl w:val="0"/>
          <w:numId w:val="1"/>
        </w:numPr>
        <w:tabs>
          <w:tab w:val="num" w:pos="1260"/>
        </w:tabs>
        <w:ind w:left="0" w:firstLine="900"/>
        <w:jc w:val="both"/>
        <w:rPr>
          <w:bCs/>
        </w:rPr>
      </w:pPr>
      <w:r w:rsidRPr="003B03F9">
        <w:rPr>
          <w:bCs/>
        </w:rPr>
        <w:t>Teisės akto projekto antikorupcinio vertinimo pažyma pridedama kaip lydimasis teisės akto projekto</w:t>
      </w:r>
      <w:r>
        <w:rPr>
          <w:bCs/>
        </w:rPr>
        <w:t xml:space="preserve"> dokumentas.</w:t>
      </w:r>
    </w:p>
    <w:p w:rsidR="00CC3C68" w:rsidRDefault="00CC3C68" w:rsidP="00CC3C68">
      <w:pPr>
        <w:jc w:val="center"/>
      </w:pPr>
      <w:r>
        <w:rPr>
          <w:b/>
        </w:rPr>
        <w:t>__________________________________________</w:t>
      </w:r>
    </w:p>
    <w:p w:rsidR="00CC3C68" w:rsidRDefault="00CC3C68" w:rsidP="00CC3C68"/>
    <w:p w:rsidR="00816F61" w:rsidRDefault="00816F61"/>
    <w:sectPr w:rsidR="00816F61" w:rsidSect="002157E5">
      <w:headerReference w:type="even" r:id="rId10"/>
      <w:headerReference w:type="default" r:id="rId11"/>
      <w:footerReference w:type="even" r:id="rId12"/>
      <w:footerReference w:type="default" r:id="rId13"/>
      <w:headerReference w:type="first" r:id="rId14"/>
      <w:footerReference w:type="first" r:id="rId15"/>
      <w:pgSz w:w="11906" w:h="16838" w:code="9"/>
      <w:pgMar w:top="1134" w:right="707" w:bottom="992"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BE9" w:rsidRDefault="003053B9">
      <w:r>
        <w:separator/>
      </w:r>
    </w:p>
  </w:endnote>
  <w:endnote w:type="continuationSeparator" w:id="0">
    <w:p w:rsidR="00873BE9" w:rsidRDefault="00305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425" w:rsidRDefault="000314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14E" w:rsidRDefault="00031425">
    <w:pPr>
      <w:pStyle w:val="Footer"/>
      <w:jc w:val="center"/>
    </w:pPr>
  </w:p>
  <w:p w:rsidR="0050514E" w:rsidRDefault="000314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425" w:rsidRDefault="00031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BE9" w:rsidRDefault="003053B9">
      <w:r>
        <w:separator/>
      </w:r>
    </w:p>
  </w:footnote>
  <w:footnote w:type="continuationSeparator" w:id="0">
    <w:p w:rsidR="00873BE9" w:rsidRDefault="00305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425" w:rsidRDefault="000314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964398"/>
      <w:docPartObj>
        <w:docPartGallery w:val="Page Numbers (Top of Page)"/>
        <w:docPartUnique/>
      </w:docPartObj>
    </w:sdtPr>
    <w:sdtEndPr>
      <w:rPr>
        <w:noProof/>
      </w:rPr>
    </w:sdtEndPr>
    <w:sdtContent>
      <w:p w:rsidR="0050514E" w:rsidRDefault="00CC3C68">
        <w:pPr>
          <w:pStyle w:val="Header"/>
          <w:jc w:val="center"/>
        </w:pPr>
        <w:r>
          <w:fldChar w:fldCharType="begin"/>
        </w:r>
        <w:r>
          <w:instrText xml:space="preserve"> PAGE   \* MERGEFORMAT </w:instrText>
        </w:r>
        <w:r>
          <w:fldChar w:fldCharType="separate"/>
        </w:r>
        <w:r w:rsidR="00031425">
          <w:rPr>
            <w:noProof/>
          </w:rPr>
          <w:t>5</w:t>
        </w:r>
        <w:r>
          <w:rPr>
            <w:noProof/>
          </w:rPr>
          <w:fldChar w:fldCharType="end"/>
        </w:r>
      </w:p>
    </w:sdtContent>
  </w:sdt>
  <w:p w:rsidR="0050514E" w:rsidRDefault="000314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14E" w:rsidRDefault="00CC3C68" w:rsidP="00DF3C2E">
    <w:pPr>
      <w:pStyle w:val="Header"/>
      <w:ind w:left="3828"/>
    </w:pPr>
    <w:r>
      <w:t xml:space="preserve">                     PATVIRTINTA</w:t>
    </w:r>
  </w:p>
  <w:p w:rsidR="00490228" w:rsidRDefault="00CC3C68" w:rsidP="00490228">
    <w:pPr>
      <w:pStyle w:val="Header"/>
      <w:tabs>
        <w:tab w:val="clear" w:pos="4986"/>
        <w:tab w:val="center" w:pos="5245"/>
      </w:tabs>
      <w:ind w:left="5103" w:hanging="1559"/>
    </w:pPr>
    <w:r>
      <w:t xml:space="preserve">                          </w:t>
    </w:r>
    <w:r>
      <w:t>Viešosios įstaigos Centrinės projektų       valdymo agentūros direktoriaus</w:t>
    </w:r>
    <w:r w:rsidR="00490228">
      <w:t xml:space="preserve"> </w:t>
    </w:r>
  </w:p>
  <w:p w:rsidR="0050514E" w:rsidRPr="00490228" w:rsidRDefault="00CC3C68" w:rsidP="00490228">
    <w:pPr>
      <w:pStyle w:val="Header"/>
      <w:tabs>
        <w:tab w:val="clear" w:pos="4986"/>
        <w:tab w:val="center" w:pos="5245"/>
      </w:tabs>
      <w:ind w:left="5103"/>
    </w:pPr>
    <w:r w:rsidRPr="00490228">
      <w:rPr>
        <w:rStyle w:val="Hyperlink"/>
        <w:color w:val="auto"/>
        <w:u w:val="none"/>
      </w:rPr>
      <w:t>(2019 m.</w:t>
    </w:r>
    <w:r w:rsidR="00490228" w:rsidRPr="00490228">
      <w:rPr>
        <w:rStyle w:val="Hyperlink"/>
        <w:color w:val="auto"/>
        <w:u w:val="none"/>
      </w:rPr>
      <w:t xml:space="preserve"> gruodžio </w:t>
    </w:r>
    <w:r w:rsidR="00490228" w:rsidRPr="00490228">
      <w:rPr>
        <w:rStyle w:val="Hyperlink"/>
        <w:color w:val="auto"/>
        <w:u w:val="none"/>
        <w:lang w:val="en-US"/>
      </w:rPr>
      <w:t>20</w:t>
    </w:r>
    <w:r w:rsidR="00031425">
      <w:rPr>
        <w:rStyle w:val="Hyperlink"/>
        <w:color w:val="auto"/>
        <w:u w:val="none"/>
      </w:rPr>
      <w:t xml:space="preserve"> </w:t>
    </w:r>
    <w:bookmarkStart w:id="1" w:name="_GoBack"/>
    <w:bookmarkEnd w:id="1"/>
    <w:r w:rsidR="00490228" w:rsidRPr="00490228">
      <w:rPr>
        <w:rStyle w:val="Hyperlink"/>
        <w:color w:val="auto"/>
        <w:u w:val="none"/>
      </w:rPr>
      <w:t xml:space="preserve">d. įsakymu Nr. 2019/8-346  </w:t>
    </w:r>
    <w:r w:rsidRPr="00490228">
      <w:rPr>
        <w:rStyle w:val="Hyperlink"/>
        <w:color w:val="auto"/>
        <w:u w:val="none"/>
      </w:rPr>
      <w:t>)</w:t>
    </w:r>
    <w:r w:rsidRPr="00490228">
      <w:rPr>
        <w:rStyle w:val="Hyperlink"/>
        <w:color w:val="auto"/>
      </w:rPr>
      <w:t xml:space="preserve">           </w:t>
    </w:r>
    <w:r w:rsidRPr="00490228">
      <w:rPr>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8145C"/>
    <w:multiLevelType w:val="multilevel"/>
    <w:tmpl w:val="D94A692C"/>
    <w:lvl w:ilvl="0">
      <w:start w:val="1"/>
      <w:numFmt w:val="decimal"/>
      <w:lvlText w:val="%1."/>
      <w:lvlJc w:val="left"/>
      <w:pPr>
        <w:tabs>
          <w:tab w:val="num" w:pos="1211"/>
        </w:tabs>
        <w:ind w:left="1211" w:hanging="360"/>
      </w:pPr>
      <w:rPr>
        <w:rFonts w:hint="default"/>
        <w:b w:val="0"/>
        <w:i w:val="0"/>
        <w:strike w:val="0"/>
      </w:rPr>
    </w:lvl>
    <w:lvl w:ilvl="1">
      <w:start w:val="1"/>
      <w:numFmt w:val="decimal"/>
      <w:lvlText w:val="%1.%2."/>
      <w:lvlJc w:val="left"/>
      <w:pPr>
        <w:tabs>
          <w:tab w:val="num" w:pos="1778"/>
        </w:tabs>
        <w:ind w:left="1778"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41970D71"/>
    <w:multiLevelType w:val="multilevel"/>
    <w:tmpl w:val="9D28ABC0"/>
    <w:lvl w:ilvl="0">
      <w:start w:val="14"/>
      <w:numFmt w:val="decimal"/>
      <w:lvlText w:val="%1"/>
      <w:lvlJc w:val="left"/>
      <w:pPr>
        <w:ind w:left="600" w:hanging="600"/>
      </w:pPr>
      <w:rPr>
        <w:rFonts w:hint="default"/>
      </w:rPr>
    </w:lvl>
    <w:lvl w:ilvl="1">
      <w:start w:val="4"/>
      <w:numFmt w:val="decimal"/>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C68"/>
    <w:rsid w:val="00031425"/>
    <w:rsid w:val="002071AB"/>
    <w:rsid w:val="003053B9"/>
    <w:rsid w:val="00490228"/>
    <w:rsid w:val="00816F61"/>
    <w:rsid w:val="00873BE9"/>
    <w:rsid w:val="00B85F7E"/>
    <w:rsid w:val="00CC3C68"/>
    <w:rsid w:val="00D8400F"/>
    <w:rsid w:val="00DC04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3D102"/>
  <w15:chartTrackingRefBased/>
  <w15:docId w15:val="{0B18ACAB-E387-46B9-8062-0D5DFA5D7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C6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3C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C3C6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3C68"/>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CC3C68"/>
    <w:rPr>
      <w:rFonts w:ascii="Cambria" w:eastAsia="Times New Roman" w:hAnsi="Cambria" w:cs="Times New Roman"/>
      <w:b/>
      <w:bCs/>
      <w:i/>
      <w:iCs/>
      <w:sz w:val="28"/>
      <w:szCs w:val="28"/>
    </w:rPr>
  </w:style>
  <w:style w:type="character" w:styleId="Hyperlink">
    <w:name w:val="Hyperlink"/>
    <w:uiPriority w:val="99"/>
    <w:rsid w:val="00CC3C68"/>
    <w:rPr>
      <w:color w:val="0000FF"/>
      <w:u w:val="single"/>
    </w:rPr>
  </w:style>
  <w:style w:type="paragraph" w:styleId="Header">
    <w:name w:val="header"/>
    <w:basedOn w:val="Normal"/>
    <w:link w:val="HeaderChar"/>
    <w:uiPriority w:val="99"/>
    <w:unhideWhenUsed/>
    <w:rsid w:val="00CC3C68"/>
    <w:pPr>
      <w:tabs>
        <w:tab w:val="center" w:pos="4986"/>
        <w:tab w:val="right" w:pos="9972"/>
      </w:tabs>
    </w:pPr>
  </w:style>
  <w:style w:type="character" w:customStyle="1" w:styleId="HeaderChar">
    <w:name w:val="Header Char"/>
    <w:basedOn w:val="DefaultParagraphFont"/>
    <w:link w:val="Header"/>
    <w:uiPriority w:val="99"/>
    <w:rsid w:val="00CC3C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3C68"/>
    <w:pPr>
      <w:tabs>
        <w:tab w:val="center" w:pos="4986"/>
        <w:tab w:val="right" w:pos="9972"/>
      </w:tabs>
    </w:pPr>
  </w:style>
  <w:style w:type="character" w:customStyle="1" w:styleId="FooterChar">
    <w:name w:val="Footer Char"/>
    <w:basedOn w:val="DefaultParagraphFont"/>
    <w:link w:val="Footer"/>
    <w:uiPriority w:val="99"/>
    <w:rsid w:val="00CC3C68"/>
    <w:rPr>
      <w:rFonts w:ascii="Times New Roman" w:eastAsia="Times New Roman" w:hAnsi="Times New Roman" w:cs="Times New Roman"/>
      <w:sz w:val="24"/>
      <w:szCs w:val="24"/>
    </w:rPr>
  </w:style>
  <w:style w:type="paragraph" w:styleId="ListParagraph">
    <w:name w:val="List Paragraph"/>
    <w:basedOn w:val="Normal"/>
    <w:uiPriority w:val="34"/>
    <w:qFormat/>
    <w:rsid w:val="00CC3C68"/>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DmsDocPrepDocSendReg xmlns="028236e2-f653-4d19-ab67-4d06a9145e0c">false</DmsDocPrepDocSendReg>
    <DmsDocPrepListOrderNo xmlns="4b2e9d09-07c5-42d4-ad0a-92e216c40b99">2</DmsDocPrepListOrderNo>
  </documentManagement>
</p:properties>
</file>

<file path=customXml/itemProps1.xml><?xml version="1.0" encoding="utf-8"?>
<ds:datastoreItem xmlns:ds="http://schemas.openxmlformats.org/officeDocument/2006/customXml" ds:itemID="{1B9BE5D7-E732-461C-9736-3E48B562A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D5E2B4-03C8-44ED-A4EA-7A7002A6A928}">
  <ds:schemaRefs>
    <ds:schemaRef ds:uri="http://schemas.microsoft.com/sharepoint/v3/contenttype/forms"/>
  </ds:schemaRefs>
</ds:datastoreItem>
</file>

<file path=customXml/itemProps3.xml><?xml version="1.0" encoding="utf-8"?>
<ds:datastoreItem xmlns:ds="http://schemas.openxmlformats.org/officeDocument/2006/customXml" ds:itemID="{27E8D66C-DB58-43F7-9054-7D2DA3747F29}">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 ds:uri="4b2e9d09-07c5-42d4-ad0a-92e216c40b99"/>
    <ds:schemaRef ds:uri="028236e2-f653-4d19-ab67-4d06a9145e0c"/>
    <ds:schemaRef ds:uri="http://schemas.microsoft.com/office/infopath/2007/PartnerControls"/>
    <ds:schemaRef ds:uri="f5ebda27-b626-448f-a7d1-d1cf5ad133f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2254</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Antikorupcinio vertinimo tvarkos aprašas</vt:lpstr>
    </vt:vector>
  </TitlesOfParts>
  <Company/>
  <LinksUpToDate>false</LinksUpToDate>
  <CharactersWithSpaces>15072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Antikorupcinio vertinimo tvarkos aprašas</dc:title>
  <dc:subject/>
  <dc:creator>Marius Dubrickas</dc:creator>
  <cp:keywords/>
  <dc:description/>
  <cp:lastModifiedBy>Erika Patupytė</cp:lastModifiedBy>
  <cp:revision>4</cp:revision>
  <dcterms:created xsi:type="dcterms:W3CDTF">2020-03-16T13:48:00Z</dcterms:created>
  <dcterms:modified xsi:type="dcterms:W3CDTF">2020-03-16T13:53:00Z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DmsPermissionsFlags">
    <vt:lpwstr>,SECTRUE,</vt:lpwstr>
  </property>
  <property fmtid="{D5CDD505-2E9C-101B-9397-08002B2CF9AE}" pid="4" name="DmsPermissionsDivisions">
    <vt:lpwstr>48;#Kokybės užtikrinimo skyrius|253b4bc5-eb8b-4b91-befb-f97cc65a2670;#49;#Vadovybė|58a5a61f-fccb-4f74-9a6b-098be634181c;#641;#Teisės ir kokybės kontrolės tarnyba|49a3c2a9-3e57-4b22-bc07-71553bb31692;#56;#Tarptautinių programų valdymo departamentas|dd0cf42</vt:lpwstr>
  </property>
  <property fmtid="{D5CDD505-2E9C-101B-9397-08002B2CF9AE}" pid="5" name="TaxCatchAll">
    <vt:lpwstr/>
  </property>
  <property fmtid="{D5CDD505-2E9C-101B-9397-08002B2CF9AE}" pid="6" name="DmsPermissionsUsers">
    <vt:lpwstr>788;#Erika Patupytė;#312;#Jolanta Kačinskaitė;#46;#Edmundas Bogavičius;#273;#Dalia Vinklerė;#247;#Artūras Žarnovskis;#47;#Gintaras Mickus;#217;#Laima Liegutė;#35;#Skirmantas Pileckas;#224;#Neringa Pažūsienė;#21;#Irena Meškauskienė;#17;#Andžej Trachimovič;</vt:lpwstr>
  </property>
  <property fmtid="{D5CDD505-2E9C-101B-9397-08002B2CF9AE}" pid="7" name="DmsDocPrepDocSendRegReal">
    <vt:bool>false</vt:bool>
  </property>
</Properties>
</file>