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3" Type="http://schemas.openxmlformats.org/officeDocument/2006/relationships/extended-properties" Target="docProps/app.xml"/>
  <Relationship Id="rId4" Type="http://schemas.openxmlformats.org/officeDocument/2006/relationships/custom-properties" Target="docProps/custom.xml"/>
  <Relationship Id="rId5" Type="http://schemas.openxmlformats.org/package/2006/relationships/metadata/core-properties" Target="docProps/core.xml"/>
</Relationships>

</file>

<file path=word/document.xml><?xml version="1.0" encoding="utf-8"?>
<w:document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taisx="http://lrs.lt/TAIS/DocPartXmlMarks" mc:Ignorable="w14 w15 w16se wp14">
  <w:body>
    <w:p>
      <w:pPr>
        <w:ind w:left="5102"/>
        <w:rPr>
          <w:bCs/>
          <w:color w:val="000000"/>
          <w:szCs w:val="24"/>
        </w:rPr>
      </w:pPr>
    </w:p>
    <w:p>
      <w:pPr>
        <w:ind w:left="5102"/>
        <w:rPr>
          <w:bCs/>
          <w:color w:val="000000"/>
          <w:szCs w:val="24"/>
        </w:rPr>
      </w:pPr>
      <w:r>
        <w:rPr>
          <w:bCs/>
          <w:color w:val="000000"/>
          <w:szCs w:val="24"/>
        </w:rPr>
        <w:t xml:space="preserve">Sienų valdymo ir vizų politikos finansinės paramos priemonės, įtrauktos į Integruoto sienų valdymo fondą, bei Vidaus saugumo fondo 2021–2027 m. programų projektų pirkimų priežiūros tvarkos aprašo </w:t>
      </w:r>
    </w:p>
    <w:p>
      <w:pPr>
        <w:ind w:left="5102"/>
        <w:rPr>
          <w:bCs/>
          <w:color w:val="000000"/>
          <w:szCs w:val="24"/>
        </w:rPr>
      </w:pPr>
      <w:r>
        <w:rPr>
          <w:bCs/>
          <w:color w:val="000000"/>
          <w:szCs w:val="24"/>
        </w:rPr>
        <w:t>1</w:t>
      </w:r>
      <w:r>
        <w:rPr>
          <w:bCs/>
          <w:color w:val="000000"/>
          <w:szCs w:val="24"/>
        </w:rPr>
        <w:t xml:space="preserve"> priedas</w:t>
      </w:r>
    </w:p>
    <w:p>
      <w:pPr>
        <w:ind w:left="5954"/>
        <w:jc w:val="both"/>
        <w:rPr>
          <w:bCs/>
          <w:color w:val="000000"/>
          <w:szCs w:val="24"/>
        </w:rPr>
      </w:pPr>
    </w:p>
    <w:p>
      <w:pPr>
        <w:jc w:val="center"/>
        <w:rPr>
          <w:b/>
          <w:szCs w:val="24"/>
        </w:rPr>
      </w:pPr>
      <w:r>
        <w:rPr>
          <w:b/>
          <w:szCs w:val="24"/>
        </w:rPr>
        <w:t>DOKUMENTŲ, KURIE TURI BŪTI TEIKIAMI CPVA, ATSIŽVELGIANT Į PIRKIMŲ PRIEŽIŪROS BŪDĄ, SĄRAŠAS</w:t>
      </w:r>
    </w:p>
    <w:p>
      <w:pPr>
        <w:jc w:val="center"/>
        <w:rPr>
          <w:b/>
          <w:szCs w:val="24"/>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5"/>
        <w:gridCol w:w="5412"/>
        <w:gridCol w:w="1223"/>
        <w:gridCol w:w="1339"/>
        <w:gridCol w:w="1121"/>
      </w:tblGrid>
      <w:tr>
        <w:tc>
          <w:tcPr>
            <w:tcW w:w="278" w:type="pct"/>
            <w:tcBorders>
              <w:top w:val="single" w:sz="4" w:space="0" w:color="auto"/>
              <w:left w:val="single" w:sz="4" w:space="0" w:color="auto"/>
              <w:bottom w:val="single" w:sz="4" w:space="0" w:color="auto"/>
              <w:right w:val="single" w:sz="4" w:space="0" w:color="auto"/>
            </w:tcBorders>
            <w:vAlign w:val="center"/>
            <w:hideMark/>
          </w:tcPr>
          <w:p>
            <w:pPr>
              <w:rPr>
                <w:b/>
                <w:szCs w:val="24"/>
              </w:rPr>
            </w:pPr>
            <w:r>
              <w:rPr>
                <w:b/>
                <w:szCs w:val="24"/>
              </w:rPr>
              <w:t>Nr.</w:t>
            </w:r>
          </w:p>
        </w:tc>
        <w:tc>
          <w:tcPr>
            <w:tcW w:w="2810" w:type="pct"/>
            <w:tcBorders>
              <w:top w:val="single" w:sz="4" w:space="0" w:color="auto"/>
              <w:left w:val="single" w:sz="4" w:space="0" w:color="auto"/>
              <w:bottom w:val="single" w:sz="4" w:space="0" w:color="auto"/>
              <w:right w:val="single" w:sz="4" w:space="0" w:color="auto"/>
            </w:tcBorders>
            <w:vAlign w:val="center"/>
            <w:hideMark/>
          </w:tcPr>
          <w:p>
            <w:pPr>
              <w:jc w:val="center"/>
              <w:rPr>
                <w:b/>
                <w:szCs w:val="24"/>
              </w:rPr>
            </w:pPr>
            <w:r>
              <w:rPr>
                <w:b/>
                <w:szCs w:val="24"/>
              </w:rPr>
              <w:t>Dokumento pavadinimas</w:t>
            </w:r>
          </w:p>
        </w:tc>
        <w:tc>
          <w:tcPr>
            <w:tcW w:w="635" w:type="pct"/>
            <w:tcBorders>
              <w:top w:val="single" w:sz="4" w:space="0" w:color="auto"/>
              <w:left w:val="single" w:sz="4" w:space="0" w:color="auto"/>
              <w:bottom w:val="single" w:sz="4" w:space="0" w:color="auto"/>
              <w:right w:val="single" w:sz="4" w:space="0" w:color="auto"/>
            </w:tcBorders>
            <w:vAlign w:val="center"/>
            <w:hideMark/>
          </w:tcPr>
          <w:p>
            <w:pPr>
              <w:rPr>
                <w:b/>
                <w:szCs w:val="24"/>
              </w:rPr>
            </w:pPr>
            <w:r>
              <w:rPr>
                <w:b/>
                <w:szCs w:val="24"/>
              </w:rPr>
              <w:t>Išankstinė pirkimų priežiūra (I etapas)</w:t>
            </w:r>
          </w:p>
        </w:tc>
        <w:tc>
          <w:tcPr>
            <w:tcW w:w="695" w:type="pct"/>
            <w:tcBorders>
              <w:top w:val="single" w:sz="4" w:space="0" w:color="auto"/>
              <w:left w:val="single" w:sz="4" w:space="0" w:color="auto"/>
              <w:bottom w:val="single" w:sz="4" w:space="0" w:color="auto"/>
              <w:right w:val="single" w:sz="4" w:space="0" w:color="auto"/>
            </w:tcBorders>
            <w:vAlign w:val="center"/>
            <w:hideMark/>
          </w:tcPr>
          <w:p>
            <w:pPr>
              <w:rPr>
                <w:b/>
                <w:szCs w:val="24"/>
              </w:rPr>
            </w:pPr>
            <w:r>
              <w:rPr>
                <w:b/>
                <w:szCs w:val="24"/>
              </w:rPr>
              <w:t>Išankstinė pirkimų priežiūra iki pirkimo sutarties pasirašymo</w:t>
            </w:r>
          </w:p>
          <w:p>
            <w:pPr>
              <w:rPr>
                <w:b/>
                <w:szCs w:val="24"/>
              </w:rPr>
            </w:pPr>
            <w:r>
              <w:rPr>
                <w:b/>
                <w:szCs w:val="24"/>
              </w:rPr>
              <w:t>(II etapas)</w:t>
            </w:r>
          </w:p>
        </w:tc>
        <w:tc>
          <w:tcPr>
            <w:tcW w:w="582" w:type="pct"/>
            <w:tcBorders>
              <w:top w:val="single" w:sz="4" w:space="0" w:color="auto"/>
              <w:left w:val="single" w:sz="4" w:space="0" w:color="auto"/>
              <w:bottom w:val="single" w:sz="4" w:space="0" w:color="auto"/>
              <w:right w:val="single" w:sz="4" w:space="0" w:color="auto"/>
            </w:tcBorders>
            <w:vAlign w:val="center"/>
            <w:hideMark/>
          </w:tcPr>
          <w:p>
            <w:pPr>
              <w:rPr>
                <w:b/>
                <w:szCs w:val="24"/>
              </w:rPr>
            </w:pPr>
            <w:r>
              <w:rPr>
                <w:b/>
                <w:szCs w:val="24"/>
              </w:rPr>
              <w:t>Paskesnė pirkimų priežiūra</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1.</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Pirkimo dokumentai (pirkimo sąlygos, techninė specifikacija, pirkimo sutarties projektas, kvietimas dalyvauti pirkime, pranešimas apie pirkimą, aprašomasis dokumentas (konkurencinio dialogo atveju), kvietimas pateikti pasiūlymus, kvietimas dalyvauti konkurenciniame dialoge arba derybose).</w:t>
            </w:r>
          </w:p>
          <w:p>
            <w:pPr>
              <w:jc w:val="both"/>
              <w:rPr>
                <w:szCs w:val="24"/>
              </w:rPr>
            </w:pPr>
            <w:r>
              <w:rPr>
                <w:szCs w:val="24"/>
              </w:rPr>
              <w:t>Uždaro konkurso ir derybų su vieninteliu tiekėju atveju – protokolai dėl sprendimo pirkimą vykdyti pagal Įstatymą arba Pirkimų aprašą.</w:t>
            </w:r>
          </w:p>
          <w:p>
            <w:pPr>
              <w:jc w:val="both"/>
              <w:rPr>
                <w:szCs w:val="24"/>
              </w:rPr>
            </w:pPr>
            <w:r>
              <w:rPr>
                <w:szCs w:val="24"/>
              </w:rPr>
              <w:t xml:space="preserve">DPS atveju  (i) pagrindimas, kad pirkimo objektas (tai, kas numatyti pirkti projekte) atitinka VPĮ 79 str., t.y. objekto charakteristikos yra rinkoje visuotinai žinomos (prekės nuo lentynos, ne specifinės) (ii) pirmo etapo sąlygos, DPS sukūrimo pirkimo dokumentai (tuo atveju, jei sukuriama nauja DPS) ir konkretaus pirkimo dokumentai.</w:t>
            </w:r>
          </w:p>
        </w:tc>
        <w:tc>
          <w:tcPr>
            <w:tcW w:w="63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695" w:type="pct"/>
            <w:tcBorders>
              <w:top w:val="single" w:sz="4" w:space="0" w:color="auto"/>
              <w:left w:val="single" w:sz="4" w:space="0" w:color="auto"/>
              <w:bottom w:val="single" w:sz="4" w:space="0" w:color="auto"/>
              <w:right w:val="single" w:sz="4" w:space="0" w:color="auto"/>
            </w:tcBorders>
            <w:vAlign w:val="center"/>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2.</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Rinkos konsultacijos ataskaita (jei taikoma pagal Aprašą)</w:t>
            </w:r>
          </w:p>
        </w:tc>
        <w:tc>
          <w:tcPr>
            <w:tcW w:w="63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69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3. </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Tiekėjams išsiųstas kvietimas dalyvauti pirkime, tiekėjams išsiųstos pirkimo sąlygos, techninė specifikacija, pirkimo sutarties projektas, pirkimų žurnalo kopija su nurodytu teikiamu pirkimu, apklausos pažyma ir kiti priedai</w:t>
            </w:r>
          </w:p>
        </w:tc>
        <w:tc>
          <w:tcPr>
            <w:tcW w:w="635" w:type="pct"/>
            <w:tcBorders>
              <w:top w:val="single" w:sz="4" w:space="0" w:color="auto"/>
              <w:left w:val="single" w:sz="4" w:space="0" w:color="auto"/>
              <w:bottom w:val="single" w:sz="4" w:space="0" w:color="auto"/>
              <w:right w:val="single" w:sz="4" w:space="0" w:color="auto"/>
            </w:tcBorders>
            <w:vAlign w:val="center"/>
          </w:tcPr>
          <w:p>
            <w:pPr>
              <w:jc w:val="cente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4.</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Paskelbti ar kitomis priemonėmis tiekėjams pateikti pirkimo dokumentai</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5. </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Skelbimas apie pirkimą, pranešimas apie pirkimą, kvietimas pateikti pasiūlymus, kvietimas dalyvauti konkurenciniame dialoge arba derybose</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6. </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Tiekėjams išsiųsti pirkimo dokumentų paaiškinimai ir patikslinimai (jei pirkimas vykdytas per CVP IS*, paaiškinimai, patikslinimai turi būti paskelbti CVP IS)</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7. </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 xml:space="preserve">Pripažintas laimėjusiu tiekėjo pasiūlymas su priedais. </w:t>
            </w:r>
          </w:p>
          <w:p>
            <w:pPr>
              <w:jc w:val="both"/>
              <w:rPr>
                <w:szCs w:val="24"/>
              </w:rPr>
            </w:pPr>
            <w:r>
              <w:rPr>
                <w:szCs w:val="24"/>
              </w:rPr>
              <w:t>Riboto konkurso atveju taip pat turi būti pateikti visų tiekėjų (kandidatų), kurie buvo pakviesti pateikti pasiūlymus, paraiškos.</w:t>
            </w:r>
          </w:p>
          <w:p>
            <w:pPr>
              <w:jc w:val="both"/>
              <w:rPr>
                <w:szCs w:val="24"/>
              </w:rPr>
            </w:pPr>
            <w:r>
              <w:rPr>
                <w:szCs w:val="24"/>
              </w:rPr>
              <w:t xml:space="preserve">Skelbiamų derybų atveju taip pat turi būti pateikti visų tiekėjų (kandidatų), kurie buvo pakviesti dalyvauti skelbiamose derybose, paraiškos. </w:t>
            </w:r>
          </w:p>
          <w:p>
            <w:pPr>
              <w:jc w:val="both"/>
              <w:rPr>
                <w:szCs w:val="24"/>
              </w:rPr>
            </w:pPr>
            <w:r>
              <w:rPr>
                <w:szCs w:val="24"/>
              </w:rPr>
              <w:t>Konkurencinio dialogo atveju taip pat turi būti pateikti visų tiekėjų (kandidatų), kurie buvo pakviesti dalyvauti konkurenciniame dialoge paraiškos</w:t>
            </w:r>
          </w:p>
          <w:p>
            <w:pPr>
              <w:jc w:val="both"/>
              <w:rPr>
                <w:szCs w:val="24"/>
              </w:rPr>
            </w:pPr>
            <w:r>
              <w:rPr>
                <w:szCs w:val="24"/>
              </w:rPr>
              <w:t>Uždaro konkurso atveju taip pat turi būti pateikti visų tiekėjų, kurie buvo pakviesti pateikti pasiūlymus, paraiškos.</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8.</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 xml:space="preserve">1. Kai pirkimai vykdomi pagal VPĮ arba Užsienyje vykdomų pirkimų aprašą, atmesti tiekėjų pasiūlymai su priedais, kurių kainos buvo mažesnės nei laimėjusio pasiūlymo, kai ekonomiškai naudingiausias pasiūlymas išrenkamas pagal: 1) kainos kriterijų; arba 2) sąnaudų, kurios apskaičiuojamos pagal gyvavimo ciklo sąnaudų metodą, kriterijų; arba 3) kainos ar sąnaudų ir kokybės santykį, kai pasiūlymo vertinimo kriterijai vertinami tik kiekybiškai, arba ekonomiškai naudingiausią pasiūlymą pateikusio tiekėjo ir tiekėjo, kuris yra antras eilėje po ekonomiškai naudingiausią pasiūlymą pateikusio tiekėjo – jei ekonomiškai naudingiausias pasiūlymas išrenkamas pagal kainos ar sąnaudų ir kokybės santykį, kai pasiūlymo techninės charakteristikos nėra kiekybiškai vertinamos. </w:t>
            </w:r>
          </w:p>
          <w:p>
            <w:pPr>
              <w:jc w:val="both"/>
              <w:rPr>
                <w:szCs w:val="24"/>
              </w:rPr>
            </w:pPr>
            <w:r>
              <w:rPr>
                <w:szCs w:val="24"/>
              </w:rPr>
              <w:t xml:space="preserve">2. Kai pirkimas vykdomas pagal Įstatymą arba Pirkimų aprašą, atmesti tiekėjų pasiūlymai su priedais, kurių kainos buvo mažesnės nei laimėjusio pasiūlymo, jei vertinta pagal mažiausios kainos kriterijų, arba ekonomiškai naudingiausią pasiūlymą pateikusio tiekėjo ir tiekėjo, kuris yra antras eilėje po ekonomiškai naudingiausią pasiūlymą pateikusio tiekėjo – jei vertinta pagal ekonomiškai naudingiausio pasiūlymo vertinimo kriterijų. </w:t>
            </w:r>
          </w:p>
          <w:p>
            <w:pPr>
              <w:jc w:val="both"/>
              <w:rPr>
                <w:szCs w:val="24"/>
              </w:rPr>
            </w:pPr>
            <w:r>
              <w:rPr>
                <w:szCs w:val="24"/>
              </w:rPr>
              <w:t>3. Riboto konkurso atveju turi būti pateikti visų tiekėjų (kandidatų), kurie nebuvo pakviesti pateikti pasiūlymų, paraiškos.</w:t>
            </w:r>
          </w:p>
          <w:p>
            <w:pPr>
              <w:jc w:val="both"/>
              <w:rPr>
                <w:szCs w:val="24"/>
              </w:rPr>
            </w:pPr>
            <w:r>
              <w:rPr>
                <w:szCs w:val="24"/>
              </w:rPr>
              <w:t xml:space="preserve">4. Skelbiamų derybų atveju taip pat turi būti pateiktos visų tiekėjų (kandidatų), kurie nebuvo pakviesti dalyvauti skelbiamose derybose, paraiškos. </w:t>
            </w:r>
          </w:p>
          <w:p>
            <w:pPr>
              <w:jc w:val="both"/>
              <w:rPr>
                <w:szCs w:val="24"/>
              </w:rPr>
            </w:pPr>
            <w:r>
              <w:rPr>
                <w:szCs w:val="24"/>
              </w:rPr>
              <w:t>5. Konkurencinio dialogo atveju būti pateiktos visų tiekėjų (kandidatų), kurie nebuvo pakviesti dalyvauti konkurenciniame dialoge paraiškos.</w:t>
            </w:r>
          </w:p>
          <w:p>
            <w:pPr>
              <w:jc w:val="both"/>
              <w:rPr>
                <w:szCs w:val="24"/>
              </w:rPr>
            </w:pPr>
            <w:r>
              <w:rPr>
                <w:szCs w:val="24"/>
              </w:rPr>
              <w:t>6. Uždaro konkurso atveju taip pat turi būti pateikti visų tiekėjų, kurie buvo pakviesti pateikti pasiūlymus, paraiškos.</w:t>
            </w:r>
          </w:p>
          <w:p>
            <w:pPr>
              <w:jc w:val="both"/>
              <w:rPr>
                <w:szCs w:val="24"/>
              </w:rPr>
            </w:pPr>
            <w:r>
              <w:rPr>
                <w:szCs w:val="24"/>
              </w:rPr>
              <w:t xml:space="preserve">7. DPS pagrindu atliekamo konkretaus pirkimo  atveju taip pat turi būti pateikti visų atmestų tiekėjų, kurie buvo neįtraukti į DPS,  paraiškos.</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9.</w:t>
            </w:r>
          </w:p>
        </w:tc>
        <w:tc>
          <w:tcPr>
            <w:tcW w:w="2810" w:type="pct"/>
            <w:tcBorders>
              <w:top w:val="single" w:sz="4" w:space="0" w:color="auto"/>
              <w:left w:val="single" w:sz="4" w:space="0" w:color="auto"/>
              <w:bottom w:val="single" w:sz="4" w:space="0" w:color="auto"/>
              <w:right w:val="single" w:sz="4" w:space="0" w:color="auto"/>
            </w:tcBorders>
            <w:hideMark/>
          </w:tcPr>
          <w:p>
            <w:pPr>
              <w:rPr>
                <w:szCs w:val="24"/>
              </w:rPr>
            </w:pPr>
            <w:r>
              <w:rPr>
                <w:szCs w:val="24"/>
              </w:rPr>
              <w:t>Susirašinėjimas su tiekėjais**</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10.</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Viešojo (-ųjų) pirkimo (-ų) komisijos protokolai ir jų priedai (pasiūlymų vertinimo lentelės, ekspertinio vertinimo pažymos ar kiti su pasiūlymų vertinimu susiję dokumentai)</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11. </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Viešųjų pirkimų tarnybos ar kitų kontroliuojančių institucijų išvados dėl pirkimo dokumentų arba pirkimo procedūrų, jei tokios buvo</w:t>
            </w:r>
          </w:p>
        </w:tc>
        <w:tc>
          <w:tcPr>
            <w:tcW w:w="63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695" w:type="pct"/>
            <w:tcBorders>
              <w:top w:val="single" w:sz="4" w:space="0" w:color="auto"/>
              <w:left w:val="single" w:sz="4" w:space="0" w:color="auto"/>
              <w:bottom w:val="single" w:sz="4" w:space="0" w:color="auto"/>
              <w:right w:val="single" w:sz="4" w:space="0" w:color="auto"/>
            </w:tcBorders>
            <w:vAlign w:val="center"/>
          </w:tcPr>
          <w:p>
            <w:pPr>
              <w:jc w:val="both"/>
              <w:rPr>
                <w:szCs w:val="24"/>
              </w:rPr>
            </w:pP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12.</w:t>
            </w:r>
          </w:p>
        </w:tc>
        <w:tc>
          <w:tcPr>
            <w:tcW w:w="2810" w:type="pct"/>
            <w:tcBorders>
              <w:top w:val="single" w:sz="4" w:space="0" w:color="auto"/>
              <w:left w:val="single" w:sz="4" w:space="0" w:color="auto"/>
              <w:bottom w:val="single" w:sz="4" w:space="0" w:color="auto"/>
              <w:right w:val="single" w:sz="4" w:space="0" w:color="auto"/>
            </w:tcBorders>
            <w:hideMark/>
          </w:tcPr>
          <w:p>
            <w:pPr>
              <w:rPr>
                <w:szCs w:val="24"/>
              </w:rPr>
            </w:pPr>
            <w:r>
              <w:rPr>
                <w:szCs w:val="24"/>
              </w:rPr>
              <w:t>Skundai, pretenzijos ir atsakymai, jei tokie buvo</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13. </w:t>
            </w:r>
          </w:p>
        </w:tc>
        <w:tc>
          <w:tcPr>
            <w:tcW w:w="2810" w:type="pct"/>
            <w:tcBorders>
              <w:top w:val="single" w:sz="4" w:space="0" w:color="auto"/>
              <w:left w:val="single" w:sz="4" w:space="0" w:color="auto"/>
              <w:bottom w:val="single" w:sz="4" w:space="0" w:color="auto"/>
              <w:right w:val="single" w:sz="4" w:space="0" w:color="auto"/>
            </w:tcBorders>
            <w:hideMark/>
          </w:tcPr>
          <w:p>
            <w:pPr>
              <w:rPr>
                <w:szCs w:val="24"/>
              </w:rPr>
            </w:pPr>
            <w:r>
              <w:rPr>
                <w:szCs w:val="24"/>
              </w:rPr>
              <w:t>Teismo nutartys, sprendimai ar ieškiniai teismui, jei tokių buvo</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14.</w:t>
            </w:r>
          </w:p>
        </w:tc>
        <w:tc>
          <w:tcPr>
            <w:tcW w:w="2810" w:type="pct"/>
            <w:tcBorders>
              <w:top w:val="single" w:sz="4" w:space="0" w:color="auto"/>
              <w:left w:val="single" w:sz="4" w:space="0" w:color="auto"/>
              <w:bottom w:val="single" w:sz="4" w:space="0" w:color="auto"/>
              <w:right w:val="single" w:sz="4" w:space="0" w:color="auto"/>
            </w:tcBorders>
            <w:hideMark/>
          </w:tcPr>
          <w:p>
            <w:pPr>
              <w:rPr>
                <w:szCs w:val="24"/>
              </w:rPr>
            </w:pPr>
            <w:r>
              <w:rPr>
                <w:szCs w:val="24"/>
              </w:rPr>
              <w:t>Pirkimo sutarties projektas</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c>
          <w:tcPr>
            <w:tcW w:w="582" w:type="pct"/>
            <w:tcBorders>
              <w:top w:val="single" w:sz="4" w:space="0" w:color="auto"/>
              <w:left w:val="single" w:sz="4" w:space="0" w:color="auto"/>
              <w:bottom w:val="single" w:sz="4" w:space="0" w:color="auto"/>
              <w:right w:val="single" w:sz="4" w:space="0" w:color="auto"/>
            </w:tcBorders>
            <w:vAlign w:val="center"/>
          </w:tcPr>
          <w:p>
            <w:pPr>
              <w:jc w:val="center"/>
              <w:rPr>
                <w:szCs w:val="24"/>
              </w:rPr>
            </w:pP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15.</w:t>
            </w:r>
          </w:p>
        </w:tc>
        <w:tc>
          <w:tcPr>
            <w:tcW w:w="2810" w:type="pct"/>
            <w:tcBorders>
              <w:top w:val="single" w:sz="4" w:space="0" w:color="auto"/>
              <w:left w:val="single" w:sz="4" w:space="0" w:color="auto"/>
              <w:bottom w:val="single" w:sz="4" w:space="0" w:color="auto"/>
              <w:right w:val="single" w:sz="4" w:space="0" w:color="auto"/>
            </w:tcBorders>
            <w:hideMark/>
          </w:tcPr>
          <w:p>
            <w:pPr>
              <w:rPr>
                <w:szCs w:val="24"/>
              </w:rPr>
            </w:pPr>
            <w:r>
              <w:rPr>
                <w:szCs w:val="24"/>
              </w:rPr>
              <w:t>Pasirašyta pirkimo sutartis**</w:t>
            </w:r>
          </w:p>
          <w:p>
            <w:pPr>
              <w:rPr>
                <w:szCs w:val="24"/>
              </w:rPr>
            </w:pP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tcPr>
          <w:p>
            <w:pPr>
              <w:rPr>
                <w:szCs w:val="24"/>
              </w:rPr>
            </w:pPr>
            <w:r>
              <w:rPr>
                <w:szCs w:val="24"/>
              </w:rPr>
              <w:t>16</w:t>
            </w:r>
          </w:p>
        </w:tc>
        <w:tc>
          <w:tcPr>
            <w:tcW w:w="2810" w:type="pct"/>
            <w:tcBorders>
              <w:top w:val="single" w:sz="4" w:space="0" w:color="auto"/>
              <w:left w:val="single" w:sz="4" w:space="0" w:color="auto"/>
              <w:bottom w:val="single" w:sz="4" w:space="0" w:color="auto"/>
              <w:right w:val="single" w:sz="4" w:space="0" w:color="auto"/>
            </w:tcBorders>
          </w:tcPr>
          <w:p>
            <w:pPr>
              <w:rPr>
                <w:szCs w:val="24"/>
              </w:rPr>
            </w:pPr>
            <w:r>
              <w:rPr>
                <w:szCs w:val="24"/>
              </w:rPr>
              <w:t xml:space="preserve">Skelbimas apie pirkimo sutarties sudarymą </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582" w:type="pct"/>
            <w:tcBorders>
              <w:top w:val="single" w:sz="4" w:space="0" w:color="auto"/>
              <w:left w:val="single" w:sz="4" w:space="0" w:color="auto"/>
              <w:bottom w:val="single" w:sz="4" w:space="0" w:color="auto"/>
              <w:right w:val="single" w:sz="4" w:space="0" w:color="auto"/>
            </w:tcBorders>
            <w:vAlign w:val="center"/>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 xml:space="preserve">17. </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Pirkimo sutarties įvykdymo užtikrinimas (jei toks numatytas), jo pratęsimas (jei toks buvo)**</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r>
        <w:tc>
          <w:tcPr>
            <w:tcW w:w="278" w:type="pct"/>
            <w:tcBorders>
              <w:top w:val="single" w:sz="4" w:space="0" w:color="auto"/>
              <w:left w:val="single" w:sz="4" w:space="0" w:color="auto"/>
              <w:bottom w:val="single" w:sz="4" w:space="0" w:color="auto"/>
              <w:right w:val="single" w:sz="4" w:space="0" w:color="auto"/>
            </w:tcBorders>
            <w:hideMark/>
          </w:tcPr>
          <w:p>
            <w:pPr>
              <w:rPr>
                <w:szCs w:val="24"/>
              </w:rPr>
            </w:pPr>
            <w:r>
              <w:rPr>
                <w:szCs w:val="24"/>
              </w:rPr>
              <w:t>18.</w:t>
            </w:r>
          </w:p>
        </w:tc>
        <w:tc>
          <w:tcPr>
            <w:tcW w:w="2810" w:type="pct"/>
            <w:tcBorders>
              <w:top w:val="single" w:sz="4" w:space="0" w:color="auto"/>
              <w:left w:val="single" w:sz="4" w:space="0" w:color="auto"/>
              <w:bottom w:val="single" w:sz="4" w:space="0" w:color="auto"/>
              <w:right w:val="single" w:sz="4" w:space="0" w:color="auto"/>
            </w:tcBorders>
            <w:hideMark/>
          </w:tcPr>
          <w:p>
            <w:pPr>
              <w:jc w:val="both"/>
              <w:rPr>
                <w:szCs w:val="24"/>
              </w:rPr>
            </w:pPr>
            <w:r>
              <w:rPr>
                <w:szCs w:val="24"/>
              </w:rPr>
              <w:t>Pasirašyti pirkimo sutarties pakeitimai, papildomi susitarimai, pratęsimai**</w:t>
            </w:r>
          </w:p>
        </w:tc>
        <w:tc>
          <w:tcPr>
            <w:tcW w:w="63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695" w:type="pct"/>
            <w:tcBorders>
              <w:top w:val="single" w:sz="4" w:space="0" w:color="auto"/>
              <w:left w:val="single" w:sz="4" w:space="0" w:color="auto"/>
              <w:bottom w:val="single" w:sz="4" w:space="0" w:color="auto"/>
              <w:right w:val="single" w:sz="4" w:space="0" w:color="auto"/>
            </w:tcBorders>
            <w:vAlign w:val="center"/>
          </w:tcPr>
          <w:p>
            <w:pPr>
              <w:rPr>
                <w:szCs w:val="24"/>
              </w:rPr>
            </w:pPr>
          </w:p>
        </w:tc>
        <w:tc>
          <w:tcPr>
            <w:tcW w:w="582" w:type="pct"/>
            <w:tcBorders>
              <w:top w:val="single" w:sz="4" w:space="0" w:color="auto"/>
              <w:left w:val="single" w:sz="4" w:space="0" w:color="auto"/>
              <w:bottom w:val="single" w:sz="4" w:space="0" w:color="auto"/>
              <w:right w:val="single" w:sz="4" w:space="0" w:color="auto"/>
            </w:tcBorders>
            <w:vAlign w:val="center"/>
            <w:hideMark/>
          </w:tcPr>
          <w:p>
            <w:pPr>
              <w:jc w:val="center"/>
              <w:rPr>
                <w:szCs w:val="24"/>
              </w:rPr>
            </w:pPr>
            <w:r>
              <w:rPr>
                <w:szCs w:val="24"/>
              </w:rPr>
              <w:t>●</w:t>
            </w:r>
          </w:p>
        </w:tc>
      </w:tr>
    </w:tbl>
    <w:p>
      <w:pPr>
        <w:rPr>
          <w:szCs w:val="24"/>
        </w:rPr>
      </w:pPr>
      <w:r>
        <w:rPr>
          <w:szCs w:val="24"/>
        </w:rPr>
        <w:t xml:space="preserve">Pastabos: </w:t>
      </w:r>
    </w:p>
    <w:p>
      <w:pPr>
        <w:rPr>
          <w:szCs w:val="24"/>
        </w:rPr>
      </w:pPr>
      <w:r>
        <w:rPr>
          <w:szCs w:val="24"/>
        </w:rPr>
        <w:t>* CVP IS – Centrinė viešųjų pirkimų informacinė sistema.</w:t>
      </w:r>
    </w:p>
    <w:p>
      <w:pPr>
        <w:jc w:val="both"/>
        <w:rPr>
          <w:szCs w:val="24"/>
        </w:rPr>
      </w:pPr>
      <w:r>
        <w:rPr>
          <w:szCs w:val="24"/>
        </w:rPr>
        <w:t>** - Paskesnės pirkimų patikros atveju, jei pirkimas įvykdytas per Centrinę perkančiąją organizaciją (CPO), teikiama pagrindinė (užsakymo) sutartis, jos pakeitimai (jei tokių buvo) ir pirkimo sutarties įvykdymo užtikrinimas (jei taikoma);</w:t>
      </w:r>
    </w:p>
    <w:p/>
    <w:sectPr>
      <w:pgSz w:w="11906" w:h="16838"/>
      <w:pgMar w:top="426" w:right="991" w:bottom="426" w:left="1440" w:header="567" w:footer="567" w:gutter="0"/>
      <w:cols w:space="1296"/>
      <w:docGrid w:linePitch="360"/>
    </w:sectPr>
  </w:body>
</w:document>
</file>

<file path=word/fontTable.xml><?xml version="1.0" encoding="utf-8"?>
<w:font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settings.xml><?xml version="1.0" encoding="utf-8"?>
<w:settings xmlns:w="http://schemas.openxmlformats.org/wordprocessingml/2006/main"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1296"/>
  <w:hyphenationZone w:val="396"/>
  <w:doNotHyphenateCaps/>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8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87F898-C389-4D0E-900B-2B6F577F6EBF}"/>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customXml" Target="../customXml/item2.xml"/>
  <Relationship Id="rId3" Type="http://schemas.openxmlformats.org/officeDocument/2006/relationships/customXml" Target="../customXml/item3.xml"/>
  <Relationship Id="rId4" Type="http://schemas.openxmlformats.org/officeDocument/2006/relationships/styles" Target="style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Teisės ir kokybės kontrolės skyrius|f1f7510f-e303-4b3e-a568-a8cf6cb0ac94;Valstybės sienų ir kelių investicijų skyrius|5b17650c-5f58-462f-91bd-b81e1c151e56;Kokybės užtikrinimo skyrius|253b4bc5-eb8b-4b91-befb-f97cc65a2670</j6fdf40a0e1e4c27b9444f6dc0ea131b>
    <ExportDate xmlns="a843bbba-5665-4b5f-aacc-cdcb1c804839" xsi:nil="true"/>
    <DmsDocPrepDocSendReg xmlns="028236e2-f653-4d19-ab67-4d06a9145e0c">true</DmsDocPrepDocSendReg>
    <DmsDocPrepListOrderNo xmlns="4b2e9d09-07c5-42d4-ad0a-92e216c40b99">2</DmsDocPrepListOrderNo>
  </documentManagement>
</p:properties>
</file>

<file path=customXml/item3.xml><?xml version="1.0" encoding="utf-8"?>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FB65E7-961A-483E-9A6A-FBB0F7C66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31641C-CF0A-4673-B5B8-67AE8B6B1771}">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3.xml><?xml version="1.0" encoding="utf-8"?>
<ds:datastoreItem xmlns:ds="http://schemas.openxmlformats.org/officeDocument/2006/customXml" ds:itemID="{E76F663A-3F7B-4D16-B4C1-5DCF5AF73AA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728</Words>
  <Characters>4836</Characters>
  <Application>Microsoft Office Word</Application>
  <DocSecurity>4</DocSecurity>
  <Lines>210</Lines>
  <Paragraphs>106</Paragraphs>
  <ScaleCrop>false</ScaleCrop>
  <Company/>
  <LinksUpToDate>false</LinksUpToDate>
  <CharactersWithSpaces>5458</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2025-09-25T06:49:00Z</dcterms:created>
  <dc:creator>Mindaugas Rauba</dc:creator>
  <lastModifiedBy>adlibuser</lastModifiedBy>
  <dcterms:modified xsi:type="dcterms:W3CDTF">2025-09-25T06:49:00Z</dcterms:modified>
  <revision>2</revision>
  <dc:title>VSFSVVP pirkimų aprašo priedas Nr. 1</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48;#Kokybės užtikrinimo skyrius|253b4bc5-eb8b-4b91-befb-f97cc65a2670;#3312;#Teisės ir kokybės kontrolės skyrius|f1f7510f-e303-4b3e-a568-a8cf6cb0ac94;#3759;#Valstybės sienų ir kelių investicijų skyrius|5b17650c-5f58-462f-91bd-b81e1c151e56</vt:lpwstr>
  </property>
  <property fmtid="{D5CDD505-2E9C-101B-9397-08002B2CF9AE}" pid="3" name="MediaServiceImageTags">
    <vt:lpwstr>
    </vt:lpwstr>
  </property>
  <property fmtid="{D5CDD505-2E9C-101B-9397-08002B2CF9AE}" pid="4" name="DmsPermissionsFlags">
    <vt:lpwstr>,SECTRUE,</vt:lpwstr>
  </property>
  <property fmtid="{D5CDD505-2E9C-101B-9397-08002B2CF9AE}" pid="5" name="DmsPermissionsDivisions">
    <vt:lpwstr>4359;#Teisės ir pirkimų skyrius|72419e98-9ffe-4573-a524-85d9b5806ebb</vt:lpwstr>
  </property>
  <property fmtid="{D5CDD505-2E9C-101B-9397-08002B2CF9AE}" pid="6" name="ContentTypeId">
    <vt:lpwstr>0x010100D76F90AF19434866994CD715ED8FEE4200712820E1B0DE314FBCE77D75ADAD206D</vt:lpwstr>
  </property>
  <property fmtid="{D5CDD505-2E9C-101B-9397-08002B2CF9AE}" pid="7" name="DmsPermissionsUsers">
    <vt:lpwstr>795;#Tadas Kontrimas;#273;#Dalia Vinklerė;#1744;#Indrė Šuolienė</vt:lpwstr>
  </property>
  <property fmtid="{D5CDD505-2E9C-101B-9397-08002B2CF9AE}" pid="8" name="DmsCommChanPerm">
    <vt:lpwstr/>
  </property>
  <property fmtid="{D5CDD505-2E9C-101B-9397-08002B2CF9AE}" pid="9" name="DmsPermissionsConfid">
    <vt:bool>false</vt:bool>
  </property>
  <property fmtid="{D5CDD505-2E9C-101B-9397-08002B2CF9AE}" pid="10" name="DmsDocPrepDocSendRegReal">
    <vt:bool>false</vt:bool>
  </property>
  <property fmtid="{D5CDD505-2E9C-101B-9397-08002B2CF9AE}" pid="11" name="DmsWaitingForSign">
    <vt:bool>true</vt:bool>
  </property>
</Properties>
</file>