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F70B" w14:textId="77777777" w:rsidR="0048774F" w:rsidRDefault="00012921">
      <w:pPr>
        <w:jc w:val="center"/>
      </w:pPr>
      <w:r>
        <w:t>“Support to Advanced Learning and Training (EU4Belarus – SALT)”: Fellowships to Belarusian Lecturers, Scientists, Researchers, and PhD Students</w:t>
      </w:r>
    </w:p>
    <w:p w14:paraId="48FE355D" w14:textId="77777777" w:rsidR="0048774F" w:rsidRDefault="00012921">
      <w:pPr>
        <w:jc w:val="center"/>
      </w:pPr>
      <w:r>
        <w:t>at EU Higher Education and Research Institutions 2026</w:t>
      </w:r>
    </w:p>
    <w:p w14:paraId="5B521EDA" w14:textId="77777777" w:rsidR="0048774F" w:rsidRDefault="0048774F">
      <w:pPr>
        <w:jc w:val="center"/>
      </w:pPr>
    </w:p>
    <w:p w14:paraId="78768AE0" w14:textId="77777777" w:rsidR="0048774F" w:rsidRDefault="0048774F">
      <w:pPr>
        <w:jc w:val="center"/>
      </w:pPr>
    </w:p>
    <w:p w14:paraId="76BAB2FA" w14:textId="77777777" w:rsidR="0048774F" w:rsidRDefault="00012921">
      <w:pPr>
        <w:keepNext/>
        <w:keepLines/>
        <w:spacing w:before="160" w:after="80"/>
        <w:ind w:left="120"/>
        <w:jc w:val="center"/>
        <w:outlineLvl w:val="1"/>
        <w:rPr>
          <w:b/>
          <w:bCs/>
          <w:sz w:val="28"/>
          <w:szCs w:val="28"/>
        </w:rPr>
      </w:pPr>
      <w:r>
        <w:rPr>
          <w:b/>
          <w:bCs/>
          <w:sz w:val="28"/>
          <w:szCs w:val="28"/>
        </w:rPr>
        <w:t>DECLARATION BY THE APPLICANT</w:t>
      </w:r>
    </w:p>
    <w:p w14:paraId="7371078B" w14:textId="77777777" w:rsidR="0048774F" w:rsidRDefault="0048774F">
      <w:pPr>
        <w:tabs>
          <w:tab w:val="left" w:pos="-284"/>
        </w:tabs>
        <w:spacing w:before="120"/>
        <w:jc w:val="both"/>
        <w:rPr>
          <w:sz w:val="22"/>
          <w:szCs w:val="22"/>
        </w:rPr>
      </w:pPr>
    </w:p>
    <w:p w14:paraId="523B60E5" w14:textId="77777777" w:rsidR="0048774F" w:rsidRDefault="00012921">
      <w:pPr>
        <w:tabs>
          <w:tab w:val="left" w:pos="-284"/>
        </w:tabs>
        <w:spacing w:before="120"/>
        <w:jc w:val="both"/>
        <w:rPr>
          <w:sz w:val="22"/>
          <w:szCs w:val="22"/>
        </w:rPr>
      </w:pPr>
      <w:r>
        <w:rPr>
          <w:sz w:val="22"/>
          <w:szCs w:val="22"/>
        </w:rPr>
        <w:t>The applicant hereby declares that</w:t>
      </w:r>
    </w:p>
    <w:p w14:paraId="4B0125B4" w14:textId="77777777" w:rsidR="0048774F" w:rsidRDefault="00012921">
      <w:pPr>
        <w:numPr>
          <w:ilvl w:val="0"/>
          <w:numId w:val="1"/>
        </w:numPr>
        <w:tabs>
          <w:tab w:val="left" w:pos="-5324"/>
          <w:tab w:val="left" w:pos="-4756"/>
        </w:tabs>
        <w:spacing w:before="120"/>
        <w:jc w:val="both"/>
        <w:rPr>
          <w:sz w:val="22"/>
          <w:szCs w:val="22"/>
        </w:rPr>
      </w:pPr>
      <w:r>
        <w:rPr>
          <w:sz w:val="22"/>
          <w:szCs w:val="22"/>
        </w:rPr>
        <w:t xml:space="preserve">the applicant has the professional competences and qualifications specified in Section 2 of the guidelines for applicants; </w:t>
      </w:r>
    </w:p>
    <w:p w14:paraId="0610558B" w14:textId="77777777" w:rsidR="0048774F" w:rsidRDefault="00012921">
      <w:pPr>
        <w:numPr>
          <w:ilvl w:val="0"/>
          <w:numId w:val="1"/>
        </w:numPr>
        <w:tabs>
          <w:tab w:val="left" w:pos="-5324"/>
          <w:tab w:val="left" w:pos="-4756"/>
        </w:tabs>
        <w:spacing w:before="120"/>
        <w:jc w:val="both"/>
        <w:rPr>
          <w:sz w:val="22"/>
          <w:szCs w:val="22"/>
        </w:rPr>
      </w:pPr>
      <w:r>
        <w:rPr>
          <w:sz w:val="22"/>
          <w:szCs w:val="22"/>
        </w:rPr>
        <w:t xml:space="preserve">the applicant is directly responsible for the preparation, management and implementation of the action and is not </w:t>
      </w:r>
      <w:r>
        <w:rPr>
          <w:sz w:val="22"/>
          <w:szCs w:val="22"/>
        </w:rPr>
        <w:t xml:space="preserve">acting as an intermediary; </w:t>
      </w:r>
    </w:p>
    <w:p w14:paraId="3BAE5F3B" w14:textId="77777777" w:rsidR="0048774F" w:rsidRDefault="00012921">
      <w:pPr>
        <w:numPr>
          <w:ilvl w:val="0"/>
          <w:numId w:val="1"/>
        </w:numPr>
        <w:tabs>
          <w:tab w:val="left" w:pos="-5324"/>
          <w:tab w:val="left" w:pos="-4756"/>
        </w:tabs>
        <w:spacing w:before="120"/>
        <w:jc w:val="both"/>
        <w:rPr>
          <w:sz w:val="22"/>
          <w:szCs w:val="22"/>
        </w:rPr>
      </w:pPr>
      <w:r>
        <w:rPr>
          <w:sz w:val="22"/>
          <w:szCs w:val="22"/>
        </w:rPr>
        <w:t xml:space="preserve">the applicant </w:t>
      </w:r>
      <w:proofErr w:type="gramStart"/>
      <w:r>
        <w:rPr>
          <w:sz w:val="22"/>
          <w:szCs w:val="22"/>
        </w:rPr>
        <w:t>is in a position to</w:t>
      </w:r>
      <w:proofErr w:type="gramEnd"/>
      <w:r>
        <w:rPr>
          <w:sz w:val="22"/>
          <w:szCs w:val="22"/>
        </w:rPr>
        <w:t xml:space="preserve"> deliver immediately, upon request, the supporting documents stipulated under Section 2.4 of the guidelines for applicants. </w:t>
      </w:r>
    </w:p>
    <w:p w14:paraId="2B883AF1" w14:textId="77777777" w:rsidR="0048774F" w:rsidRDefault="00012921">
      <w:pPr>
        <w:numPr>
          <w:ilvl w:val="0"/>
          <w:numId w:val="1"/>
        </w:numPr>
        <w:tabs>
          <w:tab w:val="left" w:pos="-5324"/>
          <w:tab w:val="left" w:pos="-4756"/>
        </w:tabs>
        <w:spacing w:before="120"/>
        <w:jc w:val="both"/>
        <w:rPr>
          <w:sz w:val="22"/>
          <w:szCs w:val="22"/>
        </w:rPr>
      </w:pPr>
      <w:r>
        <w:rPr>
          <w:sz w:val="22"/>
          <w:szCs w:val="22"/>
        </w:rPr>
        <w:t xml:space="preserve">the applicant is eligible in accordance with the criteria set out under Sections 2.1.1 of the guidelines for applicants; </w:t>
      </w:r>
    </w:p>
    <w:p w14:paraId="244A0798" w14:textId="77777777" w:rsidR="0048774F" w:rsidRDefault="00012921">
      <w:pPr>
        <w:numPr>
          <w:ilvl w:val="0"/>
          <w:numId w:val="1"/>
        </w:numPr>
        <w:tabs>
          <w:tab w:val="left" w:pos="-5324"/>
          <w:tab w:val="left" w:pos="-4756"/>
        </w:tabs>
        <w:spacing w:before="120"/>
        <w:jc w:val="both"/>
        <w:rPr>
          <w:sz w:val="22"/>
          <w:szCs w:val="22"/>
        </w:rPr>
      </w:pPr>
      <w:r>
        <w:rPr>
          <w:sz w:val="22"/>
          <w:szCs w:val="22"/>
        </w:rPr>
        <w:t>if recommended to be awarded a grant, the applicant accept the contractual conditions as laid down in the standard grant contract annexed to the guidelines for applicants;</w:t>
      </w:r>
    </w:p>
    <w:p w14:paraId="4712161B" w14:textId="77777777" w:rsidR="0048774F" w:rsidRDefault="00012921">
      <w:pPr>
        <w:tabs>
          <w:tab w:val="left" w:pos="-284"/>
        </w:tabs>
        <w:spacing w:before="120"/>
        <w:jc w:val="both"/>
        <w:rPr>
          <w:sz w:val="22"/>
          <w:szCs w:val="22"/>
        </w:rPr>
      </w:pPr>
      <w:r>
        <w:rPr>
          <w:sz w:val="22"/>
          <w:szCs w:val="22"/>
        </w:rPr>
        <w:t xml:space="preserve">These are the sources and </w:t>
      </w:r>
      <w:r>
        <w:rPr>
          <w:sz w:val="22"/>
          <w:szCs w:val="22"/>
        </w:rPr>
        <w:t xml:space="preserve">amounts of European Union funding received or applied for the action or part of the action or for its functioning during the same financial year as well as any other funding received or applied for the same action </w:t>
      </w:r>
    </w:p>
    <w:p w14:paraId="1BE6D304" w14:textId="77777777" w:rsidR="0048774F" w:rsidRDefault="00012921">
      <w:pPr>
        <w:tabs>
          <w:tab w:val="left" w:pos="-284"/>
        </w:tabs>
        <w:spacing w:before="120"/>
        <w:jc w:val="both"/>
        <w:rPr>
          <w:sz w:val="22"/>
          <w:szCs w:val="22"/>
        </w:rPr>
      </w:pPr>
      <w:r>
        <w:rPr>
          <w:sz w:val="22"/>
          <w:szCs w:val="22"/>
        </w:rPr>
        <w:t>(list source and amount and indicate status (i.e. applied for or awarded).</w:t>
      </w:r>
    </w:p>
    <w:p w14:paraId="013A05B1" w14:textId="77777777" w:rsidR="0048774F" w:rsidRDefault="00012921">
      <w:pPr>
        <w:tabs>
          <w:tab w:val="left" w:pos="-284"/>
        </w:tabs>
        <w:spacing w:before="120"/>
        <w:jc w:val="both"/>
        <w:rPr>
          <w:sz w:val="22"/>
          <w:szCs w:val="22"/>
        </w:rPr>
      </w:pPr>
      <w:r>
        <w:rPr>
          <w:sz w:val="22"/>
          <w:szCs w:val="22"/>
        </w:rPr>
        <w:t xml:space="preserve">The applicant is fully aware of the obligation to inform without delay the contracting authority to which this application is submitted if the same application for funding made to other European Commission departments or </w:t>
      </w:r>
      <w:r>
        <w:rPr>
          <w:sz w:val="22"/>
          <w:szCs w:val="22"/>
        </w:rPr>
        <w:t>European Union institutions has been approved by them after the submission of this grant application.</w:t>
      </w:r>
    </w:p>
    <w:p w14:paraId="29F9047C" w14:textId="77777777" w:rsidR="0048774F" w:rsidRDefault="00012921">
      <w:pPr>
        <w:tabs>
          <w:tab w:val="left" w:pos="-284"/>
        </w:tabs>
        <w:spacing w:before="120"/>
        <w:jc w:val="both"/>
      </w:pPr>
      <w:r>
        <w:rPr>
          <w:sz w:val="22"/>
          <w:szCs w:val="22"/>
        </w:rPr>
        <w:t xml:space="preserve">The applicant acknowledges that if he/she participates in the competition in spite of being in any of the situations listed in Section 2.6.10.1 of the practical guide or if  the declarations or information provided prove to be false he/she may be subject to rejection from this procedure and to administrative sanctions in the form of exclusion and financial penalties up to 10 % of the total estimated value </w:t>
      </w:r>
      <w:r>
        <w:rPr>
          <w:sz w:val="22"/>
          <w:szCs w:val="22"/>
        </w:rPr>
        <w:t xml:space="preserve">of the grant being awarded and that this information may be published on the Commission website in accordance with the Financial Regulation in force. He/she is aware that, for the purposes of safeguarding the </w:t>
      </w:r>
      <w:r>
        <w:t>EU’s</w:t>
      </w:r>
      <w:r>
        <w:rPr>
          <w:sz w:val="22"/>
          <w:szCs w:val="22"/>
        </w:rPr>
        <w:t xml:space="preserve"> financial interests, personal data may be transferred to internal audit services, to the early detection and exclusion system, to the European Court of Auditors, to the Financial Irregularities Panel or to the European Anti-Fraud Office.</w:t>
      </w:r>
    </w:p>
    <w:p w14:paraId="512DD0D4" w14:textId="77777777" w:rsidR="0048774F" w:rsidRDefault="0048774F">
      <w:pPr>
        <w:tabs>
          <w:tab w:val="left" w:pos="-284"/>
        </w:tabs>
        <w:spacing w:before="120"/>
        <w:rPr>
          <w:sz w:val="22"/>
          <w:szCs w:val="22"/>
        </w:rPr>
      </w:pPr>
    </w:p>
    <w:p w14:paraId="65B13ACE" w14:textId="77777777" w:rsidR="0048774F" w:rsidRDefault="00012921">
      <w:pPr>
        <w:tabs>
          <w:tab w:val="left" w:pos="-284"/>
        </w:tabs>
        <w:spacing w:before="120"/>
        <w:rPr>
          <w:sz w:val="22"/>
          <w:szCs w:val="22"/>
        </w:rPr>
      </w:pPr>
      <w:r>
        <w:rPr>
          <w:sz w:val="22"/>
          <w:szCs w:val="22"/>
        </w:rPr>
        <w:t>Signed on behalf of the applicant</w:t>
      </w:r>
    </w:p>
    <w:tbl>
      <w:tblPr>
        <w:tblW w:w="7655" w:type="dxa"/>
        <w:tblInd w:w="8" w:type="dxa"/>
        <w:tblLayout w:type="fixed"/>
        <w:tblCellMar>
          <w:left w:w="10" w:type="dxa"/>
          <w:right w:w="10" w:type="dxa"/>
        </w:tblCellMar>
        <w:tblLook w:val="0000" w:firstRow="0" w:lastRow="0" w:firstColumn="0" w:lastColumn="0" w:noHBand="0" w:noVBand="0"/>
      </w:tblPr>
      <w:tblGrid>
        <w:gridCol w:w="2552"/>
        <w:gridCol w:w="5103"/>
      </w:tblGrid>
      <w:tr w:rsidR="0048774F" w14:paraId="26EE6B2A" w14:textId="77777777">
        <w:tblPrEx>
          <w:tblCellMar>
            <w:top w:w="0" w:type="dxa"/>
            <w:bottom w:w="0" w:type="dxa"/>
          </w:tblCellMar>
        </w:tblPrEx>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Mar>
              <w:top w:w="0" w:type="dxa"/>
              <w:left w:w="0" w:type="dxa"/>
              <w:bottom w:w="0" w:type="dxa"/>
              <w:right w:w="0" w:type="dxa"/>
            </w:tcMar>
          </w:tcPr>
          <w:p w14:paraId="5B29D4A4" w14:textId="77777777" w:rsidR="0048774F" w:rsidRDefault="00012921">
            <w:pPr>
              <w:spacing w:before="120"/>
              <w:rPr>
                <w:b/>
                <w:color w:val="000000"/>
                <w:sz w:val="22"/>
                <w:szCs w:val="22"/>
              </w:rPr>
            </w:pPr>
            <w:r>
              <w:rPr>
                <w:b/>
                <w:color w:val="000000"/>
                <w:sz w:val="22"/>
                <w:szCs w:val="22"/>
              </w:rPr>
              <w:t>Name</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F6F51" w14:textId="77777777" w:rsidR="0048774F" w:rsidRDefault="0048774F">
            <w:pPr>
              <w:spacing w:before="120"/>
              <w:rPr>
                <w:b/>
                <w:color w:val="000000"/>
                <w:sz w:val="22"/>
                <w:szCs w:val="22"/>
              </w:rPr>
            </w:pPr>
          </w:p>
        </w:tc>
      </w:tr>
      <w:tr w:rsidR="0048774F" w14:paraId="1C273981" w14:textId="77777777">
        <w:tblPrEx>
          <w:tblCellMar>
            <w:top w:w="0" w:type="dxa"/>
            <w:bottom w:w="0" w:type="dxa"/>
          </w:tblCellMar>
        </w:tblPrEx>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Mar>
              <w:top w:w="0" w:type="dxa"/>
              <w:left w:w="0" w:type="dxa"/>
              <w:bottom w:w="0" w:type="dxa"/>
              <w:right w:w="0" w:type="dxa"/>
            </w:tcMar>
          </w:tcPr>
          <w:p w14:paraId="23920419" w14:textId="77777777" w:rsidR="0048774F" w:rsidRDefault="00012921">
            <w:pPr>
              <w:spacing w:before="120"/>
              <w:rPr>
                <w:b/>
                <w:color w:val="000000"/>
                <w:sz w:val="22"/>
                <w:szCs w:val="22"/>
              </w:rPr>
            </w:pPr>
            <w:r>
              <w:rPr>
                <w:b/>
                <w:color w:val="000000"/>
                <w:sz w:val="22"/>
                <w:szCs w:val="22"/>
              </w:rPr>
              <w:t>Signature</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404C1" w14:textId="77777777" w:rsidR="0048774F" w:rsidRDefault="0048774F">
            <w:pPr>
              <w:spacing w:before="120"/>
              <w:rPr>
                <w:b/>
                <w:color w:val="000000"/>
                <w:sz w:val="22"/>
                <w:szCs w:val="22"/>
              </w:rPr>
            </w:pPr>
          </w:p>
        </w:tc>
      </w:tr>
      <w:tr w:rsidR="0048774F" w14:paraId="288A1C27" w14:textId="77777777">
        <w:tblPrEx>
          <w:tblCellMar>
            <w:top w:w="0" w:type="dxa"/>
            <w:bottom w:w="0" w:type="dxa"/>
          </w:tblCellMar>
        </w:tblPrEx>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Mar>
              <w:top w:w="0" w:type="dxa"/>
              <w:left w:w="0" w:type="dxa"/>
              <w:bottom w:w="0" w:type="dxa"/>
              <w:right w:w="0" w:type="dxa"/>
            </w:tcMar>
          </w:tcPr>
          <w:p w14:paraId="27D5D817" w14:textId="77777777" w:rsidR="0048774F" w:rsidRDefault="00012921">
            <w:pPr>
              <w:spacing w:before="120"/>
              <w:rPr>
                <w:b/>
                <w:color w:val="000000"/>
                <w:sz w:val="22"/>
                <w:szCs w:val="22"/>
              </w:rPr>
            </w:pPr>
            <w:r>
              <w:rPr>
                <w:b/>
                <w:color w:val="000000"/>
                <w:sz w:val="22"/>
                <w:szCs w:val="22"/>
              </w:rPr>
              <w:t>Date</w:t>
            </w:r>
          </w:p>
        </w:tc>
        <w:tc>
          <w:tcPr>
            <w:tcW w:w="51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FB61B" w14:textId="77777777" w:rsidR="0048774F" w:rsidRDefault="0048774F">
            <w:pPr>
              <w:spacing w:before="120"/>
              <w:rPr>
                <w:b/>
                <w:color w:val="000000"/>
                <w:sz w:val="22"/>
                <w:szCs w:val="22"/>
              </w:rPr>
            </w:pPr>
          </w:p>
        </w:tc>
      </w:tr>
    </w:tbl>
    <w:p w14:paraId="5566BEB0" w14:textId="77777777" w:rsidR="0048774F" w:rsidRDefault="0048774F"/>
    <w:p w14:paraId="61AE3A74" w14:textId="77777777" w:rsidR="0048774F" w:rsidRDefault="0048774F"/>
    <w:sectPr w:rsidR="0048774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307FF" w14:textId="77777777" w:rsidR="00012921" w:rsidRDefault="00012921">
      <w:r>
        <w:separator/>
      </w:r>
    </w:p>
  </w:endnote>
  <w:endnote w:type="continuationSeparator" w:id="0">
    <w:p w14:paraId="645FEDA5" w14:textId="77777777" w:rsidR="00012921" w:rsidRDefault="0001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E6D37" w14:textId="77777777" w:rsidR="00012921" w:rsidRDefault="00012921">
      <w:r>
        <w:rPr>
          <w:color w:val="000000"/>
        </w:rPr>
        <w:separator/>
      </w:r>
    </w:p>
  </w:footnote>
  <w:footnote w:type="continuationSeparator" w:id="0">
    <w:p w14:paraId="0F15879E" w14:textId="77777777" w:rsidR="00012921" w:rsidRDefault="00012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E6D70"/>
    <w:multiLevelType w:val="multilevel"/>
    <w:tmpl w:val="5BF0A3F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66462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8774F"/>
    <w:rsid w:val="00012921"/>
    <w:rsid w:val="0048774F"/>
    <w:rsid w:val="00CF06E5"/>
    <w:rsid w:val="00EC4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E525"/>
  <w15:docId w15:val="{1FDA4B63-5A8B-406A-82E6-722E196E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lang w:val="en-GB" w:eastAsia="lt-LT"/>
    </w:rPr>
  </w:style>
  <w:style w:type="paragraph" w:styleId="Heading1">
    <w:name w:val="heading 1"/>
    <w:basedOn w:val="Normal"/>
    <w:next w:val="Normal"/>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iCs/>
      <w:color w:val="595959"/>
    </w:rPr>
  </w:style>
  <w:style w:type="paragraph" w:styleId="Heading7">
    <w:name w:val="heading 7"/>
    <w:basedOn w:val="Normal"/>
    <w:next w:val="Normal"/>
    <w:pPr>
      <w:keepNext/>
      <w:keepLines/>
      <w:spacing w:before="40"/>
      <w:outlineLvl w:val="6"/>
    </w:pPr>
    <w:rPr>
      <w:color w:val="595959"/>
    </w:rPr>
  </w:style>
  <w:style w:type="paragraph" w:styleId="Heading8">
    <w:name w:val="heading 8"/>
    <w:basedOn w:val="Normal"/>
    <w:next w:val="Normal"/>
    <w:pPr>
      <w:keepNext/>
      <w:keepLines/>
      <w:outlineLvl w:val="7"/>
    </w:pPr>
    <w:rPr>
      <w:i/>
      <w:iCs/>
      <w:color w:val="272727"/>
    </w:rPr>
  </w:style>
  <w:style w:type="paragraph" w:styleId="Heading9">
    <w:name w:val="heading 9"/>
    <w:basedOn w:val="Normal"/>
    <w:next w:val="Normal"/>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Revision">
    <w:name w:val="Revision"/>
    <w:pPr>
      <w:spacing w:after="0" w:line="240" w:lineRule="auto"/>
    </w:pPr>
    <w:rPr>
      <w:rFonts w:ascii="Times New Roman" w:eastAsia="Times New Roman" w:hAnsi="Times New Roman"/>
      <w:kern w:val="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Leskauskienė</dc:creator>
  <dc:description/>
  <cp:lastModifiedBy>Lina Katinaitė</cp:lastModifiedBy>
  <cp:revision>2</cp:revision>
  <dcterms:created xsi:type="dcterms:W3CDTF">2026-07-16T11:55:00Z</dcterms:created>
  <dcterms:modified xsi:type="dcterms:W3CDTF">2026-07-16T11:55:00Z</dcterms:modified>
</cp:coreProperties>
</file>