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19D6D" w14:textId="0A68013D" w:rsidR="00157556" w:rsidRPr="00157556" w:rsidRDefault="00157556" w:rsidP="00157556">
      <w:pPr>
        <w:spacing w:before="120" w:after="120" w:line="240" w:lineRule="auto"/>
        <w:jc w:val="center"/>
        <w:rPr>
          <w:rFonts w:ascii="Times New Roman" w:hAnsi="Times New Roman" w:cs="Times New Roman"/>
          <w:b/>
          <w:bCs/>
        </w:rPr>
      </w:pPr>
      <w:r w:rsidRPr="00157556">
        <w:rPr>
          <w:rFonts w:ascii="Times New Roman" w:hAnsi="Times New Roman" w:cs="Times New Roman"/>
          <w:b/>
          <w:bCs/>
        </w:rPr>
        <w:t xml:space="preserve">VIEŠOSIOS ĮSTAIGOS CENTRINĖS PROJEKTŲ VALDYMO AGENTŪROS DAŽNIAUSIAI NUSTATOMI PAŽEIDIMAI, SUSIJĘ SU PIRKIMO </w:t>
      </w:r>
      <w:r w:rsidRPr="00157556">
        <w:rPr>
          <w:rFonts w:ascii="Times New Roman" w:hAnsi="Times New Roman" w:cs="Times New Roman"/>
          <w:b/>
          <w:bCs/>
        </w:rPr>
        <w:t>SUTARTIES ĮGYVENDINIMU</w:t>
      </w:r>
      <w:r w:rsidRPr="00157556">
        <w:rPr>
          <w:rFonts w:ascii="Times New Roman" w:hAnsi="Times New Roman" w:cs="Times New Roman"/>
          <w:b/>
          <w:bCs/>
        </w:rPr>
        <w:t xml:space="preserve">  </w:t>
      </w:r>
    </w:p>
    <w:p w14:paraId="63F114C5" w14:textId="77777777" w:rsidR="00157556" w:rsidRPr="00157556" w:rsidRDefault="00157556" w:rsidP="00157556">
      <w:pPr>
        <w:spacing w:before="120" w:after="120" w:line="240" w:lineRule="auto"/>
        <w:ind w:firstLine="567"/>
        <w:jc w:val="both"/>
        <w:rPr>
          <w:rFonts w:ascii="Times New Roman" w:hAnsi="Times New Roman" w:cs="Times New Roman"/>
          <w:b/>
          <w:bCs/>
        </w:rPr>
      </w:pPr>
    </w:p>
    <w:p w14:paraId="2536D98B" w14:textId="77777777" w:rsidR="00157556" w:rsidRPr="00157556" w:rsidRDefault="00157556" w:rsidP="00157556">
      <w:pPr>
        <w:pStyle w:val="ListParagraph"/>
        <w:numPr>
          <w:ilvl w:val="0"/>
          <w:numId w:val="1"/>
        </w:numPr>
        <w:autoSpaceDE w:val="0"/>
        <w:autoSpaceDN w:val="0"/>
        <w:adjustRightInd w:val="0"/>
        <w:spacing w:before="120" w:after="120" w:line="240" w:lineRule="auto"/>
        <w:jc w:val="both"/>
        <w:rPr>
          <w:rFonts w:ascii="Times New Roman" w:hAnsi="Times New Roman" w:cs="Times New Roman"/>
          <w:b/>
          <w:color w:val="FFFFFF"/>
        </w:rPr>
      </w:pPr>
      <w:r w:rsidRPr="00157556">
        <w:rPr>
          <w:rFonts w:ascii="Times New Roman" w:hAnsi="Times New Roman" w:cs="Times New Roman"/>
          <w:b/>
          <w:color w:val="000000"/>
        </w:rPr>
        <w:t>Pirkimo sutarties įgyvendinimas</w:t>
      </w:r>
    </w:p>
    <w:p w14:paraId="4444716D" w14:textId="77777777" w:rsidR="00157556" w:rsidRPr="00157556" w:rsidRDefault="00157556" w:rsidP="00157556">
      <w:pPr>
        <w:autoSpaceDE w:val="0"/>
        <w:autoSpaceDN w:val="0"/>
        <w:adjustRightInd w:val="0"/>
        <w:spacing w:before="120" w:after="120" w:line="240" w:lineRule="auto"/>
        <w:ind w:firstLine="426"/>
        <w:jc w:val="both"/>
        <w:rPr>
          <w:rFonts w:ascii="Times New Roman" w:hAnsi="Times New Roman" w:cs="Times New Roman"/>
        </w:rPr>
      </w:pPr>
      <w:r w:rsidRPr="00157556">
        <w:rPr>
          <w:rFonts w:ascii="Times New Roman" w:hAnsi="Times New Roman" w:cs="Times New Roman"/>
        </w:rPr>
        <w:t>Viešojo pirkimo sutartis turi būti įgyvendinama, vadovaujantis viešųjų pirkimų principais, ir gali būti keičiama tik VPĮ 89 str. nustatytais atvejais. Lietuvos Aukščiausiojo Teismo praktikoje nurodyta, kad pakeitimą atlikus pagal VPĮ 89 str., kartu yra laikoma, kad toks sutarties pakeitimas atitinka viešųjų pirkimų principus. Pažymėtina, kad sutarties pakeitimai gali būti labai įvairūs, kaip, pavyzdžiui, keičiamas kontaktinis vienos iš šalių asmuo, įsigyjami papildomi darbai, pratęsiamas prekių tiekimo terminas ir pan. Bet koks toks pakeitimas privalo būti pagrįstas bei atitikti pagrindus nurodytus VPĮ 89 str. Kartu norint konstatuoti viešojo pirkimo sutarties pakeitimą nėra būtina, kad dėl tokio pakeitimo šalys būtų formaliai susitariusios ir raštu sudariusios atitinkama susitarimą, nes viešojo pirkimo sutartis gali būti pakeičiama šalių veiksmais, pavyzdžiui, pristačius kitokių parametrų prekes, nei nurodyta techninėje specifikacijoje, ir perkančiajai organizacijai jas priėmus; atleidus rangovą nuo delspinigių taikymo; paslaugų tiekėjui nepateikus pratęsto sutarties įvykdymo užtikrinimo ir pan.</w:t>
      </w:r>
    </w:p>
    <w:p w14:paraId="10C04AD3" w14:textId="77777777" w:rsidR="00157556" w:rsidRPr="00157556" w:rsidRDefault="00157556" w:rsidP="00157556">
      <w:pPr>
        <w:autoSpaceDE w:val="0"/>
        <w:autoSpaceDN w:val="0"/>
        <w:adjustRightInd w:val="0"/>
        <w:spacing w:before="120" w:after="120" w:line="240" w:lineRule="auto"/>
        <w:ind w:firstLine="426"/>
        <w:jc w:val="both"/>
        <w:rPr>
          <w:rFonts w:ascii="Times New Roman" w:hAnsi="Times New Roman" w:cs="Times New Roman"/>
        </w:rPr>
      </w:pPr>
      <w:r w:rsidRPr="00157556">
        <w:rPr>
          <w:rFonts w:ascii="Times New Roman" w:hAnsi="Times New Roman" w:cs="Times New Roman"/>
          <w:bCs/>
        </w:rPr>
        <w:t>CPVA praktikoje nustato atvejus, kai viešojo pirkimo sutartys yra keičiamos pažeidžiant VPĮ 89 str. nuostatas ir viešųjų pirkimų principus, t. y. nesant VPĮ numatytų pagrindų.</w:t>
      </w:r>
    </w:p>
    <w:p w14:paraId="3C034D88" w14:textId="77777777" w:rsidR="00157556" w:rsidRPr="00157556" w:rsidRDefault="00157556" w:rsidP="00157556">
      <w:pPr>
        <w:tabs>
          <w:tab w:val="left" w:pos="948"/>
        </w:tabs>
        <w:spacing w:before="120" w:after="120" w:line="240" w:lineRule="auto"/>
        <w:ind w:firstLine="522"/>
        <w:jc w:val="both"/>
        <w:rPr>
          <w:rFonts w:ascii="Times New Roman" w:hAnsi="Times New Roman" w:cs="Times New Roman"/>
          <w:i/>
        </w:rPr>
      </w:pPr>
      <w:r w:rsidRPr="00157556">
        <w:rPr>
          <w:rFonts w:ascii="Times New Roman" w:hAnsi="Times New Roman" w:cs="Times New Roman"/>
          <w:bCs/>
          <w:i/>
          <w:iCs/>
        </w:rPr>
        <w:t>Pavyzdžiai:</w:t>
      </w:r>
    </w:p>
    <w:p w14:paraId="65C21BD1" w14:textId="77777777" w:rsidR="00157556" w:rsidRPr="00157556" w:rsidRDefault="00157556" w:rsidP="00157556">
      <w:pPr>
        <w:spacing w:before="120" w:after="120" w:line="240" w:lineRule="auto"/>
        <w:ind w:firstLine="426"/>
        <w:jc w:val="both"/>
        <w:rPr>
          <w:rFonts w:ascii="Times New Roman" w:hAnsi="Times New Roman" w:cs="Times New Roman"/>
          <w:i/>
          <w:iCs/>
          <w:lang w:eastAsia="lt-LT"/>
        </w:rPr>
      </w:pPr>
      <w:r w:rsidRPr="00157556">
        <w:rPr>
          <w:rFonts w:ascii="Times New Roman" w:hAnsi="Times New Roman" w:cs="Times New Roman"/>
          <w:i/>
          <w:iCs/>
        </w:rPr>
        <w:t xml:space="preserve">1. Pirkimo sutartyje nustatyta, kad pardavėjas įsipareigoja prekes pristatyti ne vėliau kaip per 30 kalendorinių dienų nuo sutarties įsigaliojimo dienos, tačiau esant šalių susitarimui pristatymas gali būti pratęstas vieną kartą ne ilgesniam kaip 30 kalendorinių dienų terminui. Remiantis šiuo sutarties punktu, papildomu susitarimu prekių pristatymo terminas buvo pratęstas 30 (trisdešimčiai) kalendorinių dienų. Sutartyje taip pat nustatyta, kad pardavėjas, praleidęs bet kurios pareigos įvykdymo terminą, moka 0,03 proc. delspinigius nuo prekių kainos už kiekvieną uždelstą dieną. Iš Projekto vykdytojo pateiktų priėmimo-perdavimo aktų datų matoma, kad prekės buvo pristatytos vėliau, nei buvo numatyta sutartyje ir papildomame susitarime. Objektyvių aplinkybių, kurios pagrįstų tokį tiekėjo vėlavimą pateikta nebuvo. Nepaisant to, kad prekės buvo pristatytos pavėluotai, t. y. praleidus sutartyje ir papildomame susitarime nustatytą terminą, delspinigiai nebuvo taikyti. Tokiais veiksmais projekto vykdytojas pažeidė VPĮ 89 str. 1 d. 5 p. ir 4 d. 1-2 p. nuostatas ir 17 str. 1 d. įtvirtintus skaidrumo, lygiateisiškumo ir nediskriminavimo principus. Papildomai </w:t>
      </w:r>
      <w:r w:rsidRPr="00157556">
        <w:rPr>
          <w:rFonts w:ascii="Times New Roman" w:hAnsi="Times New Roman" w:cs="Times New Roman"/>
          <w:i/>
          <w:iCs/>
          <w:lang w:eastAsia="lt-LT"/>
        </w:rPr>
        <w:t xml:space="preserve">pažymėtina, kad delspinigiai yra prievolių užtikrinimo priemonė pagal VPĮ 87 str. 1 d. 6 p.,  todėl jei pirkimo sutartyje numatyta, kad prievolės užtikrinimas yra nustatytas delspinigiais, pvz.: perkančioji organizacija </w:t>
      </w:r>
      <w:r w:rsidRPr="00157556">
        <w:rPr>
          <w:rFonts w:ascii="Times New Roman" w:hAnsi="Times New Roman" w:cs="Times New Roman"/>
          <w:bCs/>
          <w:i/>
          <w:iCs/>
          <w:lang w:eastAsia="lt-LT"/>
        </w:rPr>
        <w:t>gali / turi teisę skaičiuoti delspinigius</w:t>
      </w:r>
      <w:r w:rsidRPr="00157556">
        <w:rPr>
          <w:rFonts w:ascii="Times New Roman" w:hAnsi="Times New Roman" w:cs="Times New Roman"/>
          <w:i/>
          <w:iCs/>
          <w:lang w:eastAsia="lt-LT"/>
        </w:rPr>
        <w:t xml:space="preserve">, tai  reiškia, kad ji </w:t>
      </w:r>
      <w:r w:rsidRPr="00157556">
        <w:rPr>
          <w:rFonts w:ascii="Times New Roman" w:hAnsi="Times New Roman" w:cs="Times New Roman"/>
          <w:bCs/>
          <w:i/>
          <w:iCs/>
          <w:lang w:eastAsia="lt-LT"/>
        </w:rPr>
        <w:t xml:space="preserve">privalo juos skaičiuoti, </w:t>
      </w:r>
      <w:r w:rsidRPr="00157556">
        <w:rPr>
          <w:rFonts w:ascii="Times New Roman" w:hAnsi="Times New Roman" w:cs="Times New Roman"/>
          <w:i/>
          <w:iCs/>
          <w:lang w:eastAsia="lt-LT"/>
        </w:rPr>
        <w:t>o to nesilaikydama pažeidžia VPĮ nuostatas.</w:t>
      </w:r>
    </w:p>
    <w:p w14:paraId="62B210B8" w14:textId="77777777" w:rsidR="00157556" w:rsidRPr="00157556" w:rsidRDefault="00157556" w:rsidP="00157556">
      <w:pPr>
        <w:spacing w:before="120" w:after="120" w:line="240" w:lineRule="auto"/>
        <w:ind w:firstLine="426"/>
        <w:jc w:val="both"/>
        <w:rPr>
          <w:rFonts w:ascii="Times New Roman" w:hAnsi="Times New Roman" w:cs="Times New Roman"/>
          <w:i/>
          <w:iCs/>
        </w:rPr>
      </w:pPr>
      <w:r w:rsidRPr="00157556">
        <w:rPr>
          <w:rFonts w:ascii="Times New Roman" w:hAnsi="Times New Roman" w:cs="Times New Roman"/>
          <w:i/>
          <w:iCs/>
        </w:rPr>
        <w:t xml:space="preserve">2. Perkančioji organizacija su tiekėju sudarė sutartį dėl paslaugų teikimo. Paslaugų teikimo terminas 5 mėnesiai. Pirkimo sutartyje buvo numatyta, kad pateiktas sutarties įvykdymo užtikrinimas privalo galioti iki visiško tiekėjo prievolių įvykdymo. Laimėjęs dalyvis pateikė sutarties įvykdymo užtikrinimą, kuris galiojo iki paslaugų teikimo termino pabaigos, t. y. pradinis užtikrinimas atitiko pirkimo sąlygų reikalavimus. Sutarties vykdymo metu dėl nuo tiekėjo priklausančių aplinkybių paslaugas buvo pavėluota suteikti 2 mėnesius, t. y. paslaugos iš viso buvo teikiamos 7 mėnesius. Perkančioji organizacija už vėlavimą tiekėjui taikė sutartyje numatytus delspinigius, tačiau nereikalavo tiekėjo pateikti pratęstą sutarties įvykdymo užtikrinimą. Nepareikalavus pateikti pratęsto sutarties įvykdymo užtikrinimo buvo pakeista </w:t>
      </w:r>
      <w:r w:rsidRPr="00157556">
        <w:rPr>
          <w:rFonts w:ascii="Times New Roman" w:hAnsi="Times New Roman" w:cs="Times New Roman"/>
          <w:i/>
          <w:iCs/>
        </w:rPr>
        <w:lastRenderedPageBreak/>
        <w:t>sutarties sąlyga, kad užtikrinimas privalo galioti iki visiško tiekėjo prievolių įvykdymo, nes šiuo atveju tiekėjas neįvykdė savo prievolių per pirminio užtikrinimo galiojimo laikotarpį. Tiekėjas, nepratęsdamas užtikrinimo 2 mėnesiams iš esmės patyrė ekonominę naudą, kuri pasireiškė tuo, kad jis nepatyrė išlaidų užtikrinimui gauti bei išvengė rizikos, kad perkančioji organizacija pasinaudos užtikrinimu dėl netinkamai vykdomos sutarties. Tokiais veiksmais, kai nepareikalavus pateikti sutarties įvykdymo užtikrinimo, projekto vykdytojas pažeidė VPĮ 89 str. 1 d. 5 p. ir 4 d. 2 p. nuostatas ir 17 str. 1 d. įtvirtintus skaidrumo, lygiateisiškumo ir nediskriminavimo principus.</w:t>
      </w:r>
    </w:p>
    <w:p w14:paraId="64383CFB" w14:textId="77777777" w:rsidR="00157556" w:rsidRPr="00157556" w:rsidRDefault="00157556" w:rsidP="00157556">
      <w:pPr>
        <w:spacing w:before="120" w:after="120" w:line="240" w:lineRule="auto"/>
        <w:ind w:firstLine="426"/>
        <w:jc w:val="both"/>
        <w:rPr>
          <w:rFonts w:ascii="Times New Roman" w:hAnsi="Times New Roman" w:cs="Times New Roman"/>
          <w:i/>
          <w:iCs/>
        </w:rPr>
      </w:pPr>
      <w:r w:rsidRPr="00157556">
        <w:rPr>
          <w:rFonts w:ascii="Times New Roman" w:hAnsi="Times New Roman" w:cs="Times New Roman"/>
          <w:i/>
          <w:iCs/>
        </w:rPr>
        <w:t>3. Perkančioji organizacija su tiekėju sudarė sutartį dėl prekių tiekimo. Sutartyje numatyta, kad prekės turi būti pateiktos visos iš karto, nenumatant jų tiekimo dalimis. Apmokėjimas tiekėjui už patiektas prekes bus atliekama tik tada, kai tiekėjo patiektos prekės bus patikrintos užsakovo bei sudarytas prekių perdavimo – priėmimo aktas, kurį patvirtins užsakovo ir tiekėjo atstovai. Esant nustatytiems neatitikimams aktas nebus pasirašomas ir mokėjimas neatliekamas, kol tiekėjas neištaisys nustatytų prekių neatitikimų. Avansinis mokėjimas sutartyje nebuvo numatytas. Sudarius sutartį tiekėjas perkančiajai organizacijai pateikė avansinę sąskaitą, kuri sudarė 30 proc. sutarties vertės. Perkančioji organizacija šią sąskaitą apmokėjo, nors kaip minėta  avansinis mokėjimas sutartyje nebuvo numatytas. Tiekėjas pristatė prekes perkančiajai organizacijai, kuri nustatė, kad dalis prekių neatitinka techninės specifikacijos reikalavimų, todėl prekių perdavimo – priėmimo aktas nebuvo sudarytas, tačiau perkančioji organizacija, prašant tiekėjui, atliko mokėjimą dėl tų prekių, kurios atitiko techninės specifikacijos reikalavimus, t. y. buvo atliktas mokėjimas už dalį prekių, nors toks mokėjimas sutartyje nebuvo numatytas. Tokiais veiksmais projekto vykdytojas pažeidė VPĮ 89 str. 1 d. 5 p. ir 4 d. 1-2 p. nuostatas ir 17 str. 1 d. įtvirtintus skaidrumo, lygiateisiškumo ir nediskriminavimo principus, nes (i) buvo pakeistos apmokėjimo sąlygos, kurios, jeigu jos būtų buvusios paskelbtos priminėse sąlygose, galėjo lemti, kad pirkime būtų dalyvavę kiti tiekėjai ir sutartis būtų sudarytą su kitu tiekėju, (ii) sutarties ekonominė pusiausvyra buvo pagerinta tiekėjo naudai, kaip tai nebuvo numatyta pradinės pirkimo sąlygose, nes jis gavo avansinį ir dalinį mokėjimą už prekes, nors tai sutarties sąlygose numatyta nebuvo.</w:t>
      </w:r>
    </w:p>
    <w:p w14:paraId="5C8856BA" w14:textId="77777777" w:rsidR="00157556" w:rsidRPr="00157556" w:rsidRDefault="00157556" w:rsidP="00157556">
      <w:pPr>
        <w:spacing w:before="120" w:after="120" w:line="240" w:lineRule="auto"/>
        <w:ind w:firstLine="426"/>
        <w:jc w:val="both"/>
        <w:rPr>
          <w:rFonts w:ascii="Times New Roman" w:hAnsi="Times New Roman" w:cs="Times New Roman"/>
          <w:i/>
          <w:iCs/>
        </w:rPr>
      </w:pPr>
      <w:r w:rsidRPr="00157556">
        <w:rPr>
          <w:rFonts w:ascii="Times New Roman" w:hAnsi="Times New Roman" w:cs="Times New Roman"/>
          <w:i/>
          <w:iCs/>
        </w:rPr>
        <w:t>4. Perkančioji organizacija sudarė rangos darbų sutartį dėl ypatingojo statinio rekonstrukcijos darbų. Sutartyje buvo nurodyta, kad rangovas, prieš darbų vykdymo pradžią, privalo pateikti Statinio statybos, rekonstravimo, remonto, atnaujinimo (modernizavimo), griovimo ar kultūros paveldo statinio tvarkomųjų statybos darbų ir civilinės atsakomybės privalomojo draudimą (toliau – Draudimas), kuris turi galioti iki rangos darbų vykdymo pabaigos. Draudimo objektas – rangovo civilinė atsakomybė ir statybos darbai konkrečiame statinyje. Pažymėtina, kad rangovo pareiga gauti yra numatyta ir teisės aktuose.</w:t>
      </w:r>
    </w:p>
    <w:p w14:paraId="75740CD6" w14:textId="77777777" w:rsidR="00157556" w:rsidRPr="00157556" w:rsidRDefault="00157556" w:rsidP="00157556">
      <w:pPr>
        <w:spacing w:before="120" w:after="120" w:line="240" w:lineRule="auto"/>
        <w:ind w:firstLine="426"/>
        <w:jc w:val="both"/>
        <w:rPr>
          <w:rFonts w:ascii="Times New Roman" w:hAnsi="Times New Roman" w:cs="Times New Roman"/>
        </w:rPr>
      </w:pPr>
      <w:r w:rsidRPr="00157556">
        <w:rPr>
          <w:rFonts w:ascii="Times New Roman" w:hAnsi="Times New Roman" w:cs="Times New Roman"/>
          <w:i/>
          <w:iCs/>
        </w:rPr>
        <w:t>Rangovas pateikė savanorišką civilinės atsakomybės draudimą nesusietą su jokiu konkrečiu statybos objektu, o tik su laikotarpiu, kuri užsakovas priėmė, kaip tinkamą ir leido rangovui vykdyti rangos darbus. Pažymėtina, kad skiriasi Draudimo ir savanoriško civilinės atsakomybės draudimo suteikiama draudiminė apsauga bei kaina. Be to, savanoriškas civilinės atsakomybės draudimas neapima darbų draudimo. Tokiais veiksmais projekto vykdytojas pažeidė VPĮ 89 str. 1 d. 5 p. ir 4 d. 1-2 p. nuostatas ir 17 str. 1 d. įtvirtintus skaidrumo, lygiateisiškumo ir nediskriminavimo principus, nes (i) buvo pakeistos sutartyje numatytos Draudimo sąlygos, kurios, jeigu jos būtų buvusios paskelbtos priminėse sąlygose, galėjo lemti, kad pirkime būtų dalyvavę kiti tiekėjai ir sutartis būtų sudarytą su kitu tiekėju, (ii) sutarties ekonominė pusiausvyra buvo pagerinta tiekėjo naudai, kaip tai nebuvo numatyta pradinės pirkimo sąlygose, nes jis pateikė kitos rūšies draudimą nei buvo reikalauta sutarties sąlygose ir nepatyrė išlaidų Draudimui įsigyti.</w:t>
      </w:r>
    </w:p>
    <w:p w14:paraId="001D63D5" w14:textId="77777777" w:rsidR="00157556" w:rsidRPr="00157556" w:rsidRDefault="00157556" w:rsidP="00157556">
      <w:pPr>
        <w:spacing w:before="120" w:after="120" w:line="240" w:lineRule="auto"/>
        <w:ind w:firstLine="567"/>
        <w:jc w:val="both"/>
        <w:rPr>
          <w:rFonts w:ascii="Times New Roman" w:hAnsi="Times New Roman" w:cs="Times New Roman"/>
          <w:bCs/>
          <w:i/>
          <w:iCs/>
        </w:rPr>
      </w:pPr>
      <w:r w:rsidRPr="00157556">
        <w:rPr>
          <w:rFonts w:ascii="Times New Roman" w:hAnsi="Times New Roman" w:cs="Times New Roman"/>
          <w:bCs/>
          <w:i/>
          <w:iCs/>
        </w:rPr>
        <w:t>Rekomendacijos projekto vykdytojui įgyvendinant viešojo pirkimo sutartį:</w:t>
      </w:r>
    </w:p>
    <w:p w14:paraId="028BA00D" w14:textId="77777777" w:rsidR="00157556" w:rsidRPr="00157556" w:rsidRDefault="00157556" w:rsidP="00157556">
      <w:pPr>
        <w:pStyle w:val="ListParagraph"/>
        <w:numPr>
          <w:ilvl w:val="0"/>
          <w:numId w:val="2"/>
        </w:numPr>
        <w:tabs>
          <w:tab w:val="left" w:pos="851"/>
        </w:tabs>
        <w:spacing w:before="120" w:after="120" w:line="240" w:lineRule="auto"/>
        <w:ind w:left="0" w:firstLine="567"/>
        <w:contextualSpacing w:val="0"/>
        <w:jc w:val="both"/>
        <w:rPr>
          <w:rFonts w:ascii="Times New Roman" w:hAnsi="Times New Roman" w:cs="Times New Roman"/>
          <w:bCs/>
        </w:rPr>
      </w:pPr>
      <w:r w:rsidRPr="00157556">
        <w:rPr>
          <w:rFonts w:ascii="Times New Roman" w:hAnsi="Times New Roman" w:cs="Times New Roman"/>
          <w:bCs/>
        </w:rPr>
        <w:lastRenderedPageBreak/>
        <w:t>Vykdyti sutartį joje numatytomis sąlygomis;</w:t>
      </w:r>
    </w:p>
    <w:p w14:paraId="4187B2A5" w14:textId="77777777" w:rsidR="00157556" w:rsidRPr="00157556" w:rsidRDefault="00157556" w:rsidP="00157556">
      <w:pPr>
        <w:pStyle w:val="ListParagraph"/>
        <w:numPr>
          <w:ilvl w:val="0"/>
          <w:numId w:val="2"/>
        </w:numPr>
        <w:tabs>
          <w:tab w:val="left" w:pos="851"/>
        </w:tabs>
        <w:spacing w:before="120" w:after="120" w:line="240" w:lineRule="auto"/>
        <w:ind w:left="0" w:firstLine="567"/>
        <w:contextualSpacing w:val="0"/>
        <w:jc w:val="both"/>
        <w:rPr>
          <w:rFonts w:ascii="Times New Roman" w:hAnsi="Times New Roman" w:cs="Times New Roman"/>
          <w:bCs/>
        </w:rPr>
      </w:pPr>
      <w:r w:rsidRPr="00157556">
        <w:rPr>
          <w:rFonts w:ascii="Times New Roman" w:hAnsi="Times New Roman" w:cs="Times New Roman"/>
          <w:bCs/>
        </w:rPr>
        <w:t>Įsitikinti, kad faktinės aplinkybės, kurios lemia sutarties keitimo poreikį, atitinka pagrindus nurodytus VPĮ 89 str. ir leidžia pakeisti viešojo pirkimo sutartį;</w:t>
      </w:r>
    </w:p>
    <w:p w14:paraId="0DDD3455" w14:textId="77777777" w:rsidR="00157556" w:rsidRPr="00157556" w:rsidRDefault="00157556" w:rsidP="00157556">
      <w:pPr>
        <w:pStyle w:val="ListParagraph"/>
        <w:numPr>
          <w:ilvl w:val="0"/>
          <w:numId w:val="2"/>
        </w:numPr>
        <w:tabs>
          <w:tab w:val="left" w:pos="851"/>
        </w:tabs>
        <w:spacing w:before="120" w:after="120" w:line="240" w:lineRule="auto"/>
        <w:ind w:left="0" w:firstLine="567"/>
        <w:contextualSpacing w:val="0"/>
        <w:jc w:val="both"/>
        <w:rPr>
          <w:rFonts w:ascii="Times New Roman" w:hAnsi="Times New Roman" w:cs="Times New Roman"/>
          <w:bCs/>
        </w:rPr>
      </w:pPr>
      <w:r w:rsidRPr="00157556">
        <w:rPr>
          <w:rFonts w:ascii="Times New Roman" w:hAnsi="Times New Roman" w:cs="Times New Roman"/>
          <w:bCs/>
        </w:rPr>
        <w:t>Tinkamai dokumentuoti sudaromus pakeitimus, kas vėliau leis lengviau juos pagrįsti;</w:t>
      </w:r>
    </w:p>
    <w:p w14:paraId="7A2D509B" w14:textId="77777777" w:rsidR="00157556" w:rsidRPr="00157556" w:rsidRDefault="00157556" w:rsidP="00157556">
      <w:pPr>
        <w:pStyle w:val="ListParagraph"/>
        <w:numPr>
          <w:ilvl w:val="0"/>
          <w:numId w:val="2"/>
        </w:numPr>
        <w:tabs>
          <w:tab w:val="left" w:pos="851"/>
        </w:tabs>
        <w:spacing w:before="120" w:after="120" w:line="240" w:lineRule="auto"/>
        <w:ind w:left="0" w:firstLine="567"/>
        <w:contextualSpacing w:val="0"/>
        <w:jc w:val="both"/>
        <w:rPr>
          <w:rFonts w:ascii="Times New Roman" w:hAnsi="Times New Roman" w:cs="Times New Roman"/>
          <w:bCs/>
        </w:rPr>
      </w:pPr>
      <w:r w:rsidRPr="00157556">
        <w:rPr>
          <w:rFonts w:ascii="Times New Roman" w:hAnsi="Times New Roman" w:cs="Times New Roman"/>
          <w:bCs/>
        </w:rPr>
        <w:t>Prižiūrėti, kaip tiekėjas laikosi terminų, sutarties sąlygų ir įsipareigojimų dėl užtikrinimų ir kitų draudimų pratęsimo.</w:t>
      </w:r>
    </w:p>
    <w:p w14:paraId="377A3F33" w14:textId="77777777" w:rsidR="00157556" w:rsidRPr="00157556" w:rsidRDefault="00157556" w:rsidP="00157556">
      <w:pPr>
        <w:tabs>
          <w:tab w:val="left" w:pos="851"/>
        </w:tabs>
        <w:spacing w:before="120" w:after="120" w:line="240" w:lineRule="auto"/>
        <w:jc w:val="both"/>
        <w:rPr>
          <w:rFonts w:ascii="Times New Roman" w:hAnsi="Times New Roman" w:cs="Times New Roman"/>
          <w:bCs/>
        </w:rPr>
      </w:pPr>
    </w:p>
    <w:p w14:paraId="3B4A74D0" w14:textId="77777777" w:rsidR="00157556" w:rsidRPr="00157556" w:rsidRDefault="00157556">
      <w:pPr>
        <w:rPr>
          <w:rFonts w:ascii="Times New Roman" w:hAnsi="Times New Roman" w:cs="Times New Roman"/>
        </w:rPr>
      </w:pPr>
    </w:p>
    <w:sectPr w:rsidR="00157556" w:rsidRPr="0015755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D2799"/>
    <w:multiLevelType w:val="hybridMultilevel"/>
    <w:tmpl w:val="59B25B6A"/>
    <w:lvl w:ilvl="0" w:tplc="89F299D8">
      <w:start w:val="1"/>
      <w:numFmt w:val="decimal"/>
      <w:lvlText w:val="%1."/>
      <w:lvlJc w:val="left"/>
      <w:pPr>
        <w:ind w:left="927" w:hanging="360"/>
      </w:pPr>
      <w:rPr>
        <w:rFonts w:hint="default"/>
        <w:i w:val="0"/>
        <w:i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69DC63F5"/>
    <w:multiLevelType w:val="hybridMultilevel"/>
    <w:tmpl w:val="525E3364"/>
    <w:lvl w:ilvl="0" w:tplc="E6D63608">
      <w:start w:val="1"/>
      <w:numFmt w:val="decimal"/>
      <w:lvlText w:val="%1."/>
      <w:lvlJc w:val="left"/>
      <w:pPr>
        <w:ind w:left="879" w:hanging="360"/>
      </w:pPr>
      <w:rPr>
        <w:rFonts w:eastAsiaTheme="minorHAnsi"/>
        <w:i w:val="0"/>
        <w:color w:val="000000"/>
      </w:rPr>
    </w:lvl>
    <w:lvl w:ilvl="1" w:tplc="04270019">
      <w:start w:val="1"/>
      <w:numFmt w:val="lowerLetter"/>
      <w:lvlText w:val="%2."/>
      <w:lvlJc w:val="left"/>
      <w:pPr>
        <w:ind w:left="1599" w:hanging="360"/>
      </w:pPr>
    </w:lvl>
    <w:lvl w:ilvl="2" w:tplc="0427001B">
      <w:start w:val="1"/>
      <w:numFmt w:val="lowerRoman"/>
      <w:lvlText w:val="%3."/>
      <w:lvlJc w:val="right"/>
      <w:pPr>
        <w:ind w:left="2319" w:hanging="180"/>
      </w:pPr>
    </w:lvl>
    <w:lvl w:ilvl="3" w:tplc="0427000F">
      <w:start w:val="1"/>
      <w:numFmt w:val="decimal"/>
      <w:lvlText w:val="%4."/>
      <w:lvlJc w:val="left"/>
      <w:pPr>
        <w:ind w:left="3039" w:hanging="360"/>
      </w:pPr>
    </w:lvl>
    <w:lvl w:ilvl="4" w:tplc="04270019">
      <w:start w:val="1"/>
      <w:numFmt w:val="lowerLetter"/>
      <w:lvlText w:val="%5."/>
      <w:lvlJc w:val="left"/>
      <w:pPr>
        <w:ind w:left="3759" w:hanging="360"/>
      </w:pPr>
    </w:lvl>
    <w:lvl w:ilvl="5" w:tplc="0427001B">
      <w:start w:val="1"/>
      <w:numFmt w:val="lowerRoman"/>
      <w:lvlText w:val="%6."/>
      <w:lvlJc w:val="right"/>
      <w:pPr>
        <w:ind w:left="4479" w:hanging="180"/>
      </w:pPr>
    </w:lvl>
    <w:lvl w:ilvl="6" w:tplc="0427000F">
      <w:start w:val="1"/>
      <w:numFmt w:val="decimal"/>
      <w:lvlText w:val="%7."/>
      <w:lvlJc w:val="left"/>
      <w:pPr>
        <w:ind w:left="5199" w:hanging="360"/>
      </w:pPr>
    </w:lvl>
    <w:lvl w:ilvl="7" w:tplc="04270019">
      <w:start w:val="1"/>
      <w:numFmt w:val="lowerLetter"/>
      <w:lvlText w:val="%8."/>
      <w:lvlJc w:val="left"/>
      <w:pPr>
        <w:ind w:left="5919" w:hanging="360"/>
      </w:pPr>
    </w:lvl>
    <w:lvl w:ilvl="8" w:tplc="0427001B">
      <w:start w:val="1"/>
      <w:numFmt w:val="lowerRoman"/>
      <w:lvlText w:val="%9."/>
      <w:lvlJc w:val="right"/>
      <w:pPr>
        <w:ind w:left="6639" w:hanging="180"/>
      </w:pPr>
    </w:lvl>
  </w:abstractNum>
  <w:num w:numId="1" w16cid:durableId="5739004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0643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556"/>
    <w:rsid w:val="00157556"/>
    <w:rsid w:val="00CF4F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27264"/>
  <w15:chartTrackingRefBased/>
  <w15:docId w15:val="{1963CD5B-99D7-4C7A-A72D-11C46327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556"/>
  </w:style>
  <w:style w:type="paragraph" w:styleId="Heading1">
    <w:name w:val="heading 1"/>
    <w:basedOn w:val="Normal"/>
    <w:next w:val="Normal"/>
    <w:link w:val="Heading1Char"/>
    <w:uiPriority w:val="9"/>
    <w:qFormat/>
    <w:rsid w:val="001575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75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75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75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75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75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75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75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75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5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75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75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75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75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75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75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75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7556"/>
    <w:rPr>
      <w:rFonts w:eastAsiaTheme="majorEastAsia" w:cstheme="majorBidi"/>
      <w:color w:val="272727" w:themeColor="text1" w:themeTint="D8"/>
    </w:rPr>
  </w:style>
  <w:style w:type="paragraph" w:styleId="Title">
    <w:name w:val="Title"/>
    <w:basedOn w:val="Normal"/>
    <w:next w:val="Normal"/>
    <w:link w:val="TitleChar"/>
    <w:uiPriority w:val="10"/>
    <w:qFormat/>
    <w:rsid w:val="001575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75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75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75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7556"/>
    <w:pPr>
      <w:spacing w:before="160"/>
      <w:jc w:val="center"/>
    </w:pPr>
    <w:rPr>
      <w:i/>
      <w:iCs/>
      <w:color w:val="404040" w:themeColor="text1" w:themeTint="BF"/>
    </w:rPr>
  </w:style>
  <w:style w:type="character" w:customStyle="1" w:styleId="QuoteChar">
    <w:name w:val="Quote Char"/>
    <w:basedOn w:val="DefaultParagraphFont"/>
    <w:link w:val="Quote"/>
    <w:uiPriority w:val="29"/>
    <w:rsid w:val="00157556"/>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
    <w:basedOn w:val="Normal"/>
    <w:link w:val="ListParagraphChar"/>
    <w:uiPriority w:val="34"/>
    <w:qFormat/>
    <w:rsid w:val="00157556"/>
    <w:pPr>
      <w:ind w:left="720"/>
      <w:contextualSpacing/>
    </w:pPr>
  </w:style>
  <w:style w:type="character" w:styleId="IntenseEmphasis">
    <w:name w:val="Intense Emphasis"/>
    <w:basedOn w:val="DefaultParagraphFont"/>
    <w:uiPriority w:val="21"/>
    <w:qFormat/>
    <w:rsid w:val="00157556"/>
    <w:rPr>
      <w:i/>
      <w:iCs/>
      <w:color w:val="0F4761" w:themeColor="accent1" w:themeShade="BF"/>
    </w:rPr>
  </w:style>
  <w:style w:type="paragraph" w:styleId="IntenseQuote">
    <w:name w:val="Intense Quote"/>
    <w:basedOn w:val="Normal"/>
    <w:next w:val="Normal"/>
    <w:link w:val="IntenseQuoteChar"/>
    <w:uiPriority w:val="30"/>
    <w:qFormat/>
    <w:rsid w:val="001575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7556"/>
    <w:rPr>
      <w:i/>
      <w:iCs/>
      <w:color w:val="0F4761" w:themeColor="accent1" w:themeShade="BF"/>
    </w:rPr>
  </w:style>
  <w:style w:type="character" w:styleId="IntenseReference">
    <w:name w:val="Intense Reference"/>
    <w:basedOn w:val="DefaultParagraphFont"/>
    <w:uiPriority w:val="32"/>
    <w:qFormat/>
    <w:rsid w:val="00157556"/>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157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5381</Words>
  <Characters>3068</Characters>
  <Application>Microsoft Office Word</Application>
  <DocSecurity>0</DocSecurity>
  <Lines>25</Lines>
  <Paragraphs>16</Paragraphs>
  <ScaleCrop>false</ScaleCrop>
  <Company/>
  <LinksUpToDate>false</LinksUpToDate>
  <CharactersWithSpaces>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Pocienė</dc:creator>
  <cp:keywords/>
  <dc:description/>
  <cp:lastModifiedBy>Aušra Pocienė</cp:lastModifiedBy>
  <cp:revision>1</cp:revision>
  <dcterms:created xsi:type="dcterms:W3CDTF">2025-08-13T07:37:00Z</dcterms:created>
  <dcterms:modified xsi:type="dcterms:W3CDTF">2025-08-13T07:41:00Z</dcterms:modified>
</cp:coreProperties>
</file>