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metadata/core-properties" Target="docProps/core0.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A19E2" w14:textId="77777777" w:rsidR="006416C2" w:rsidRDefault="002A00FC">
      <w:pPr>
        <w:pStyle w:val="Title"/>
        <w:spacing w:before="1100"/>
        <w:rPr>
          <w:rFonts w:cs="Arial"/>
        </w:rPr>
      </w:pPr>
      <w:r>
        <w:rPr>
          <w:b/>
          <w:sz w:val="44"/>
        </w:rPr>
        <w:t>VENDOR QUALIFICATION AND EVALUATION CRITERIA</w:t>
      </w:r>
    </w:p>
    <w:p w14:paraId="398FD39C" w14:textId="77777777" w:rsidR="006416C2" w:rsidRDefault="002A00FC">
      <w:pPr>
        <w:spacing w:before="240" w:after="360"/>
        <w:rPr>
          <w:rFonts w:cs="Arial"/>
        </w:rPr>
      </w:pPr>
      <w:r>
        <w:rPr>
          <w:b/>
          <w:color w:val="000000"/>
          <w:sz w:val="30"/>
        </w:rPr>
        <w:t>Legal Drafting of Secondary Legislation and Implementation Support</w:t>
      </w:r>
    </w:p>
    <w:tbl>
      <w:tblPr>
        <w:tblW w:w="9426" w:type="dxa"/>
        <w:jc w:val="center"/>
        <w:tblLayout w:type="fixed"/>
        <w:tblCellMar>
          <w:top w:w="90" w:type="dxa"/>
          <w:left w:w="100" w:type="dxa"/>
          <w:bottom w:w="90" w:type="dxa"/>
          <w:right w:w="100" w:type="dxa"/>
        </w:tblCellMar>
        <w:tblLook w:val="04A0" w:firstRow="1" w:lastRow="0" w:firstColumn="1" w:lastColumn="0" w:noHBand="0" w:noVBand="1"/>
      </w:tblPr>
      <w:tblGrid>
        <w:gridCol w:w="2952"/>
        <w:gridCol w:w="6474"/>
      </w:tblGrid>
      <w:tr w:rsidR="006416C2" w14:paraId="2A43665B" w14:textId="77777777" w:rsidTr="00163C88">
        <w:trPr>
          <w:trHeight w:val="1042"/>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17365D"/>
            <w:vAlign w:val="center"/>
          </w:tcPr>
          <w:p w14:paraId="5DB5DFB6" w14:textId="77777777" w:rsidR="006416C2" w:rsidRDefault="002A00FC">
            <w:pPr>
              <w:spacing w:after="0"/>
              <w:rPr>
                <w:rFonts w:cs="Arial"/>
              </w:rPr>
            </w:pPr>
            <w:r>
              <w:rPr>
                <w:rFonts w:cs="Arial"/>
                <w:b/>
                <w:color w:val="FFFFFF"/>
              </w:rPr>
              <w:t>Contracting authority</w:t>
            </w:r>
          </w:p>
        </w:tc>
        <w:tc>
          <w:tcPr>
            <w:tcW w:w="647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554335E" w14:textId="74F50C5F" w:rsidR="006416C2" w:rsidRDefault="00163C88">
            <w:pPr>
              <w:spacing w:after="0"/>
              <w:rPr>
                <w:rFonts w:cs="Arial"/>
              </w:rPr>
            </w:pPr>
            <w:r>
              <w:rPr>
                <w:rFonts w:cs="Arial"/>
              </w:rPr>
              <w:t>Public Institution Central Project Management Agency</w:t>
            </w:r>
          </w:p>
        </w:tc>
      </w:tr>
      <w:tr w:rsidR="00163C88" w14:paraId="4A8187AB" w14:textId="77777777" w:rsidTr="00163C88">
        <w:trPr>
          <w:trHeight w:val="1042"/>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17365D"/>
            <w:vAlign w:val="center"/>
          </w:tcPr>
          <w:p w14:paraId="385A9FD0" w14:textId="7D108692" w:rsidR="00163C88" w:rsidRDefault="00163C88">
            <w:pPr>
              <w:spacing w:after="0"/>
              <w:rPr>
                <w:rFonts w:cs="Arial"/>
                <w:b/>
                <w:color w:val="FFFFFF"/>
              </w:rPr>
            </w:pPr>
            <w:r>
              <w:rPr>
                <w:rFonts w:cs="Arial"/>
                <w:b/>
                <w:color w:val="FFFFFF"/>
              </w:rPr>
              <w:t>The Beneficiary</w:t>
            </w:r>
          </w:p>
        </w:tc>
        <w:tc>
          <w:tcPr>
            <w:tcW w:w="647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7B1C93B" w14:textId="21639CD9" w:rsidR="00163C88" w:rsidRDefault="00163C88">
            <w:pPr>
              <w:spacing w:after="0"/>
              <w:rPr>
                <w:rFonts w:cs="Arial"/>
              </w:rPr>
            </w:pPr>
            <w:r>
              <w:rPr>
                <w:rFonts w:cs="Arial"/>
              </w:rPr>
              <w:t>Migration and Citizenship Service of the Republic of Armenia</w:t>
            </w:r>
          </w:p>
        </w:tc>
      </w:tr>
      <w:tr w:rsidR="006416C2" w14:paraId="70CDA99A" w14:textId="77777777" w:rsidTr="00163C88">
        <w:trPr>
          <w:trHeight w:val="2023"/>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17365D"/>
            <w:vAlign w:val="center"/>
          </w:tcPr>
          <w:p w14:paraId="76BA764A" w14:textId="77777777" w:rsidR="006416C2" w:rsidRDefault="002A00FC">
            <w:pPr>
              <w:spacing w:after="0"/>
              <w:rPr>
                <w:rFonts w:cs="Arial"/>
              </w:rPr>
            </w:pPr>
            <w:r>
              <w:rPr>
                <w:rFonts w:cs="Arial"/>
                <w:b/>
                <w:color w:val="FFFFFF"/>
              </w:rPr>
              <w:t>Related document</w:t>
            </w:r>
          </w:p>
        </w:tc>
        <w:tc>
          <w:tcPr>
            <w:tcW w:w="647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A58EECA" w14:textId="77777777" w:rsidR="006416C2" w:rsidRDefault="002A00FC">
            <w:r>
              <w:t>Technical Specification - Legal Drafting of Secondary Legislation and Implementation Support</w:t>
            </w:r>
          </w:p>
        </w:tc>
      </w:tr>
      <w:tr w:rsidR="006416C2" w14:paraId="51DBA49B" w14:textId="77777777" w:rsidTr="00163C88">
        <w:trPr>
          <w:trHeight w:val="3127"/>
          <w:jc w:val="center"/>
        </w:trPr>
        <w:tc>
          <w:tcPr>
            <w:tcW w:w="2952" w:type="dxa"/>
            <w:tcBorders>
              <w:top w:val="single" w:sz="4" w:space="0" w:color="D9D9D9"/>
              <w:left w:val="single" w:sz="4" w:space="0" w:color="D9D9D9"/>
              <w:bottom w:val="single" w:sz="4" w:space="0" w:color="D9D9D9"/>
              <w:right w:val="single" w:sz="4" w:space="0" w:color="D9D9D9"/>
            </w:tcBorders>
            <w:shd w:val="clear" w:color="auto" w:fill="17365D"/>
            <w:vAlign w:val="center"/>
          </w:tcPr>
          <w:p w14:paraId="1CF05A34" w14:textId="77777777" w:rsidR="006416C2" w:rsidRDefault="002A00FC">
            <w:pPr>
              <w:spacing w:after="0"/>
              <w:rPr>
                <w:rFonts w:cs="Arial"/>
              </w:rPr>
            </w:pPr>
            <w:r>
              <w:rPr>
                <w:rFonts w:cs="Arial"/>
                <w:b/>
                <w:color w:val="FFFFFF"/>
              </w:rPr>
              <w:t>Purpose of this document</w:t>
            </w:r>
          </w:p>
        </w:tc>
        <w:tc>
          <w:tcPr>
            <w:tcW w:w="647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BC14E0A" w14:textId="77777777" w:rsidR="006416C2" w:rsidRDefault="002A00FC">
            <w:r>
              <w:t>Minimum qualification requirements and weighted award criteria for selecting the legal service provider</w:t>
            </w:r>
          </w:p>
        </w:tc>
      </w:tr>
    </w:tbl>
    <w:p w14:paraId="7246B961" w14:textId="77777777" w:rsidR="006416C2" w:rsidRDefault="006416C2">
      <w:pPr>
        <w:jc w:val="both"/>
        <w:rPr>
          <w:rFonts w:cs="Arial"/>
        </w:rPr>
      </w:pPr>
    </w:p>
    <w:p w14:paraId="1E42ADBC" w14:textId="77777777" w:rsidR="006416C2" w:rsidRDefault="002A00FC">
      <w:pPr>
        <w:jc w:val="both"/>
        <w:rPr>
          <w:rFonts w:cs="Arial"/>
        </w:rPr>
      </w:pPr>
      <w:r>
        <w:br w:type="page"/>
      </w:r>
    </w:p>
    <w:p w14:paraId="7F0FC38F" w14:textId="77777777" w:rsidR="006416C2" w:rsidRDefault="002A00FC">
      <w:pPr>
        <w:pStyle w:val="Heading1"/>
        <w:spacing w:before="0"/>
      </w:pPr>
      <w:r>
        <w:lastRenderedPageBreak/>
        <w:t>1 Purpose</w:t>
      </w:r>
    </w:p>
    <w:p w14:paraId="1ACE42FB" w14:textId="387BE96A" w:rsidR="006416C2" w:rsidRDefault="002A00FC">
      <w:r>
        <w:rPr>
          <w:rStyle w:val="CommentReference"/>
          <w:sz w:val="22"/>
          <w:szCs w:val="22"/>
          <w:lang w:val="en-GB"/>
        </w:rPr>
        <w:t xml:space="preserve">This document sets out the minimum qualification requirements and award criteria for the legal service provider. It accompanies the Technical Specification for preparing fourteen draft Government decisions, consultations, training </w:t>
      </w:r>
      <w:r>
        <w:rPr>
          <w:rStyle w:val="CommentReference"/>
          <w:sz w:val="22"/>
          <w:szCs w:val="22"/>
          <w:lang w:val="en-GB"/>
        </w:rPr>
        <w:t>for a target of 400 Migration and Citizenship Service staff members (with an actual number permitted to vary by ±15%) in approximately 9–12 six-hour sessions, and practical implementation guidelines. The assignment has a base implementation period of 180 calendar days, subject to the extensions provided in the Technical Specification.</w:t>
      </w:r>
    </w:p>
    <w:p w14:paraId="07FB6469" w14:textId="77777777" w:rsidR="006416C2" w:rsidRDefault="002A00FC">
      <w:pPr>
        <w:pStyle w:val="Heading1"/>
      </w:pPr>
      <w:r>
        <w:t>2 Minimum Qualification Requirements</w:t>
      </w:r>
    </w:p>
    <w:p w14:paraId="5247CB69" w14:textId="77777777" w:rsidR="006416C2" w:rsidRDefault="002A00FC">
      <w:r>
        <w:t>The requirements below are assessed on a pass/fail basis. Only tenders meeting all minimum requirements proceed to scoring under Section 3.</w:t>
      </w:r>
    </w:p>
    <w:p w14:paraId="27536EFC" w14:textId="77777777" w:rsidR="006416C2" w:rsidRDefault="002A00FC">
      <w:pPr>
        <w:pStyle w:val="Heading2"/>
      </w:pPr>
      <w:r>
        <w:t>2.1 Bidder Company Eligibility</w:t>
      </w:r>
    </w:p>
    <w:p w14:paraId="46D58C58" w14:textId="77777777" w:rsidR="006416C2" w:rsidRDefault="002A00FC">
      <w:pPr>
        <w:pStyle w:val="ListBullet"/>
        <w:spacing w:after="80"/>
      </w:pPr>
      <w:r>
        <w:t>The bidder shall be a registered legal entity with the legal capacity to perform the contract and shall submit a declaration confirming that no exclusion grounds under the applicable procurement rules apply.</w:t>
      </w:r>
    </w:p>
    <w:p w14:paraId="0975DACC" w14:textId="3F3D3CD9" w:rsidR="006416C2" w:rsidRDefault="002A00FC">
      <w:pPr>
        <w:pStyle w:val="ListBullet"/>
        <w:spacing w:after="60"/>
        <w:jc w:val="both"/>
        <w:rPr>
          <w:rFonts w:cs="Arial"/>
        </w:rPr>
      </w:pPr>
      <w:r>
        <w:rPr>
          <w:rFonts w:cs="Arial"/>
          <w:lang w:val="en-GB"/>
        </w:rPr>
        <w:t>The bidder shall have been providing legal services for at least three years as at the tender submission deadline. The bidder shall have satisfactorily delivered similar services with a cumulative value of at least EUR 40,000, excluding VAT, during the three years preceding the tender submission deadline. Similar services mean drafting or reviewing primary or secondary legislation, or legal support</w:t>
      </w:r>
      <w:r w:rsidR="00063F0B">
        <w:rPr>
          <w:rFonts w:cs="Arial"/>
          <w:lang w:val="en-GB"/>
        </w:rPr>
        <w:t xml:space="preserve"> or consultancy</w:t>
      </w:r>
      <w:r>
        <w:rPr>
          <w:rFonts w:cs="Arial"/>
          <w:lang w:val="en-GB"/>
        </w:rPr>
        <w:t xml:space="preserve"> for implementing</w:t>
      </w:r>
      <w:r w:rsidR="00063F0B">
        <w:rPr>
          <w:rFonts w:cs="Arial"/>
        </w:rPr>
        <w:t xml:space="preserve"> public-sector regulatory reforms</w:t>
      </w:r>
      <w:r>
        <w:rPr>
          <w:rFonts w:cs="Arial"/>
          <w:lang w:val="en-GB"/>
        </w:rPr>
        <w:t xml:space="preserve">. General litigation or legal advice unrelated to such activities does not qualify. One or more contracts may be relied upon; for ongoing contracts, only the value of relevant services already delivered satisfactorily shall be counted. </w:t>
      </w:r>
    </w:p>
    <w:p w14:paraId="040F8A88" w14:textId="77777777" w:rsidR="006416C2" w:rsidRDefault="002A00FC">
      <w:pPr>
        <w:pStyle w:val="ListBullet"/>
        <w:spacing w:after="80"/>
      </w:pPr>
      <w:r>
        <w:rPr>
          <w:rStyle w:val="CommentReference"/>
          <w:sz w:val="22"/>
          <w:szCs w:val="22"/>
          <w:lang w:val="en-GB"/>
        </w:rPr>
        <w:t xml:space="preserve">Financial capacity. The bidder shall have an average annual turnover of at least EUR 100,000 over the last three completed financial years. Evidence shall comprise financial statements or audit reports, where applicable, identifying the turnover for each year. </w:t>
      </w:r>
    </w:p>
    <w:p w14:paraId="683261A4" w14:textId="77777777" w:rsidR="006416C2" w:rsidRDefault="002A00FC">
      <w:pPr>
        <w:pStyle w:val="ListBullet"/>
      </w:pPr>
      <w:r>
        <w:t>2.2 Minimum Requirements for Proposed Experts</w:t>
      </w:r>
    </w:p>
    <w:p w14:paraId="6FD8BCD9" w14:textId="31802B7C" w:rsidR="006416C2" w:rsidRDefault="002A00FC">
      <w:r>
        <w:rPr>
          <w:color w:val="000000"/>
          <w:lang w:val="en-GB"/>
        </w:rPr>
        <w:t>The bidder shall propose five named experts: one Team Leader, two Senior Legal Experts and two Legal Experts. Each role shall be filled by a different person. Each expert shall be an employee of the bidder and shall have been employed by it for at least six months as at the tender submission deadline.</w:t>
      </w:r>
    </w:p>
    <w:p w14:paraId="70123991" w14:textId="77777777" w:rsidR="006416C2" w:rsidRDefault="006416C2">
      <w:pPr>
        <w:spacing w:after="100"/>
      </w:pPr>
    </w:p>
    <w:p w14:paraId="063771D5" w14:textId="77777777" w:rsidR="006416C2" w:rsidRDefault="002A00FC">
      <w:pPr>
        <w:pStyle w:val="Heading3"/>
      </w:pPr>
      <w:r>
        <w:t>2.2.1 Team Leader</w:t>
      </w:r>
    </w:p>
    <w:p w14:paraId="18169920" w14:textId="77777777" w:rsidR="006416C2" w:rsidRDefault="002A00FC">
      <w:r>
        <w:rPr>
          <w:color w:val="000000"/>
          <w:lang w:val="en-GB"/>
        </w:rPr>
        <w:t>One Team Leader with bachelor's and master's degrees in law; at least ten years of general legal experience, including at least three years in legislative drafting or implementation of public-sector regulatory reforms. A PhD in law is an advantage and is scored under Section 3.</w:t>
      </w:r>
    </w:p>
    <w:p w14:paraId="6C3D97C1" w14:textId="77777777" w:rsidR="006416C2" w:rsidRDefault="002A00FC">
      <w:r>
        <w:t>2.2.2 Senior Legal Experts</w:t>
      </w:r>
    </w:p>
    <w:p w14:paraId="11F3BD21" w14:textId="77777777" w:rsidR="006416C2" w:rsidRDefault="002A00FC">
      <w:r>
        <w:rPr>
          <w:color w:val="000000"/>
          <w:lang w:val="en-GB"/>
        </w:rPr>
        <w:t>Two Senior Legal Experts, each with bachelor's and master's degrees in law; at least eight years of general legal experience, including at least two years in legislative drafting or implementation of public-sector regulatory reforms. University teaching or professional legal-training experience is an advantage and is scored under Section 3.</w:t>
      </w:r>
    </w:p>
    <w:p w14:paraId="24290B1F" w14:textId="77777777" w:rsidR="006416C2" w:rsidRDefault="002A00FC">
      <w:pPr>
        <w:spacing w:before="160" w:after="100"/>
      </w:pPr>
      <w:r>
        <w:t>2.2.3 Legal Experts</w:t>
      </w:r>
    </w:p>
    <w:p w14:paraId="559C60E1" w14:textId="220811E7" w:rsidR="006416C2" w:rsidRDefault="002A00FC">
      <w:r>
        <w:rPr>
          <w:rStyle w:val="CommentReference"/>
          <w:sz w:val="22"/>
          <w:szCs w:val="22"/>
          <w:lang w:val="en-GB"/>
        </w:rPr>
        <w:t xml:space="preserve">Two Legal Experts, each with at least a bachelor's degree in law and at least five years of </w:t>
      </w:r>
      <w:r>
        <w:rPr>
          <w:rStyle w:val="CommentReference"/>
          <w:sz w:val="22"/>
          <w:szCs w:val="22"/>
          <w:lang w:val="en-GB"/>
        </w:rPr>
        <w:t>general legal experience. University teaching or professional legal-training experience is an advantage and is scored under Section 3.</w:t>
      </w:r>
    </w:p>
    <w:p w14:paraId="7C123011" w14:textId="7D04824E" w:rsidR="006416C2" w:rsidRPr="00163C88" w:rsidRDefault="002A00FC" w:rsidP="00163C88">
      <w:pPr>
        <w:pStyle w:val="Heading1"/>
      </w:pPr>
      <w:r w:rsidRPr="00163C88">
        <w:t>3 Award Criteria and Weighted Evaluation</w:t>
      </w:r>
    </w:p>
    <w:p w14:paraId="60CAEF1D" w14:textId="77777777" w:rsidR="006416C2" w:rsidRDefault="002A00FC">
      <w:r>
        <w:rPr>
          <w:lang w:val="en-GB"/>
        </w:rPr>
        <w:t>Compliant tenders shall be evaluated using two award criteria: total price, worth 20 points, and the additional relevant experience and qualifications of the five named experts assigned to the contract, worth 80 points. The maximum total score is 100 points. Company eligibility, financial capacity and minimum qualification requirements are assessed only under Section 2 and do not receive award points.</w:t>
      </w:r>
    </w:p>
    <w:tbl>
      <w:tblPr>
        <w:tblW w:w="9751" w:type="dxa"/>
        <w:tblLayout w:type="fixed"/>
        <w:tblCellMar>
          <w:top w:w="90" w:type="dxa"/>
          <w:left w:w="100" w:type="dxa"/>
          <w:bottom w:w="90" w:type="dxa"/>
          <w:right w:w="100" w:type="dxa"/>
        </w:tblCellMar>
        <w:tblLook w:val="04A0" w:firstRow="1" w:lastRow="0" w:firstColumn="1" w:lastColumn="0" w:noHBand="0" w:noVBand="1"/>
      </w:tblPr>
      <w:tblGrid>
        <w:gridCol w:w="8221"/>
        <w:gridCol w:w="1530"/>
      </w:tblGrid>
      <w:tr w:rsidR="006416C2" w14:paraId="740C5162" w14:textId="77777777">
        <w:trPr>
          <w:cantSplit/>
          <w:tblHeader/>
        </w:trPr>
        <w:tc>
          <w:tcPr>
            <w:tcW w:w="8220" w:type="dxa"/>
            <w:tcBorders>
              <w:top w:val="single" w:sz="4" w:space="0" w:color="D9D9D9"/>
              <w:left w:val="single" w:sz="4" w:space="0" w:color="D9D9D9"/>
              <w:bottom w:val="single" w:sz="4" w:space="0" w:color="D9D9D9"/>
              <w:right w:val="single" w:sz="4" w:space="0" w:color="D9D9D9"/>
            </w:tcBorders>
            <w:shd w:val="clear" w:color="auto" w:fill="17365D"/>
            <w:vAlign w:val="center"/>
          </w:tcPr>
          <w:p w14:paraId="64441DF3" w14:textId="77777777" w:rsidR="006416C2" w:rsidRDefault="002A00FC">
            <w:pPr>
              <w:spacing w:after="0" w:line="245" w:lineRule="auto"/>
            </w:pPr>
            <w:r>
              <w:rPr>
                <w:b/>
                <w:color w:val="FFFFFF"/>
                <w:sz w:val="21"/>
              </w:rPr>
              <w:t>Criterion</w:t>
            </w:r>
          </w:p>
        </w:tc>
        <w:tc>
          <w:tcPr>
            <w:tcW w:w="1530" w:type="dxa"/>
            <w:tcBorders>
              <w:top w:val="single" w:sz="4" w:space="0" w:color="D9D9D9"/>
              <w:left w:val="single" w:sz="4" w:space="0" w:color="D9D9D9"/>
              <w:bottom w:val="single" w:sz="4" w:space="0" w:color="D9D9D9"/>
              <w:right w:val="single" w:sz="4" w:space="0" w:color="D9D9D9"/>
            </w:tcBorders>
            <w:shd w:val="clear" w:color="auto" w:fill="17365D"/>
            <w:vAlign w:val="center"/>
          </w:tcPr>
          <w:p w14:paraId="243DDB21" w14:textId="77777777" w:rsidR="006416C2" w:rsidRDefault="002A00FC">
            <w:pPr>
              <w:spacing w:after="0" w:line="245" w:lineRule="auto"/>
              <w:jc w:val="center"/>
            </w:pPr>
            <w:r>
              <w:rPr>
                <w:b/>
                <w:color w:val="FFFFFF"/>
                <w:sz w:val="21"/>
              </w:rPr>
              <w:t>Weight</w:t>
            </w:r>
          </w:p>
        </w:tc>
      </w:tr>
      <w:tr w:rsidR="006416C2" w14:paraId="4D42CD22" w14:textId="77777777">
        <w:trPr>
          <w:cantSplit/>
        </w:trPr>
        <w:tc>
          <w:tcPr>
            <w:tcW w:w="82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79B18FC" w14:textId="77777777" w:rsidR="006416C2" w:rsidRDefault="002A00FC">
            <w:pPr>
              <w:spacing w:after="0" w:line="245" w:lineRule="auto"/>
              <w:rPr>
                <w:color w:val="000000"/>
                <w:sz w:val="21"/>
              </w:rPr>
            </w:pPr>
            <w:r>
              <w:rPr>
                <w:color w:val="000000"/>
                <w:sz w:val="21"/>
              </w:rPr>
              <w:t>Price. The lowest compliant total price receives</w:t>
            </w:r>
            <w:r>
              <w:rPr>
                <w:color w:val="000000"/>
                <w:sz w:val="21"/>
              </w:rPr>
              <w:t xml:space="preserve"> 20 points. Other compliant tenders receive P = (Pmin / Pi) × 20, where Pmin is the lowest compliant total price and Pi is the total price of the tender being evaluated.</w:t>
            </w:r>
          </w:p>
        </w:tc>
        <w:tc>
          <w:tcPr>
            <w:tcW w:w="153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341A431B" w14:textId="77777777" w:rsidR="006416C2" w:rsidRDefault="002A00FC">
            <w:pPr>
              <w:spacing w:after="0" w:line="245" w:lineRule="auto"/>
              <w:jc w:val="center"/>
            </w:pPr>
            <w:r>
              <w:rPr>
                <w:color w:val="000000"/>
                <w:sz w:val="21"/>
              </w:rPr>
              <w:t>20%</w:t>
            </w:r>
          </w:p>
        </w:tc>
      </w:tr>
      <w:tr w:rsidR="006416C2" w14:paraId="26EC3BED" w14:textId="77777777">
        <w:trPr>
          <w:cantSplit/>
        </w:trPr>
        <w:tc>
          <w:tcPr>
            <w:tcW w:w="822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6C4735C" w14:textId="77777777" w:rsidR="006416C2" w:rsidRDefault="002A00FC">
            <w:pPr>
              <w:spacing w:after="0" w:line="245" w:lineRule="auto"/>
            </w:pPr>
            <w:r>
              <w:rPr>
                <w:rFonts w:cs="Arial"/>
                <w:szCs w:val="20"/>
                <w:lang w:val="en-GB"/>
              </w:rPr>
              <w:t>Relevant experience and qualifications of the five named experts assigned to the contract. One combined team score is calculated as described below; no separate individual expert scores are assigned.</w:t>
            </w:r>
          </w:p>
        </w:tc>
        <w:tc>
          <w:tcPr>
            <w:tcW w:w="153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BB9F96E" w14:textId="77777777" w:rsidR="006416C2" w:rsidRDefault="002A00FC">
            <w:pPr>
              <w:spacing w:after="0" w:line="245" w:lineRule="auto"/>
              <w:jc w:val="center"/>
            </w:pPr>
            <w:r>
              <w:rPr>
                <w:color w:val="000000"/>
                <w:sz w:val="21"/>
              </w:rPr>
              <w:t>80%</w:t>
            </w:r>
          </w:p>
        </w:tc>
      </w:tr>
      <w:tr w:rsidR="006416C2" w14:paraId="3C4DB80B" w14:textId="77777777">
        <w:trPr>
          <w:cantSplit/>
        </w:trPr>
        <w:tc>
          <w:tcPr>
            <w:tcW w:w="8220" w:type="dxa"/>
            <w:tcBorders>
              <w:top w:val="single" w:sz="4" w:space="0" w:color="D9D9D9"/>
              <w:left w:val="single" w:sz="4" w:space="0" w:color="D9D9D9"/>
              <w:bottom w:val="single" w:sz="4" w:space="0" w:color="D9D9D9"/>
              <w:right w:val="single" w:sz="4" w:space="0" w:color="D9D9D9"/>
            </w:tcBorders>
            <w:shd w:val="clear" w:color="auto" w:fill="F2F4F6"/>
            <w:vAlign w:val="center"/>
          </w:tcPr>
          <w:p w14:paraId="4FC3AA2B" w14:textId="77777777" w:rsidR="006416C2" w:rsidRDefault="002A00FC">
            <w:pPr>
              <w:spacing w:after="0" w:line="245" w:lineRule="auto"/>
            </w:pPr>
            <w:r>
              <w:rPr>
                <w:b/>
                <w:color w:val="000000"/>
                <w:sz w:val="21"/>
                <w:lang w:val="en-GB"/>
              </w:rPr>
              <w:t>TOTAL</w:t>
            </w:r>
          </w:p>
        </w:tc>
        <w:tc>
          <w:tcPr>
            <w:tcW w:w="1530" w:type="dxa"/>
            <w:tcBorders>
              <w:top w:val="single" w:sz="4" w:space="0" w:color="D9D9D9"/>
              <w:left w:val="single" w:sz="4" w:space="0" w:color="D9D9D9"/>
              <w:bottom w:val="single" w:sz="4" w:space="0" w:color="D9D9D9"/>
              <w:right w:val="single" w:sz="4" w:space="0" w:color="D9D9D9"/>
            </w:tcBorders>
            <w:shd w:val="clear" w:color="auto" w:fill="F2F4F6"/>
            <w:vAlign w:val="center"/>
          </w:tcPr>
          <w:p w14:paraId="206420DE" w14:textId="77777777" w:rsidR="006416C2" w:rsidRDefault="002A00FC">
            <w:pPr>
              <w:spacing w:after="0" w:line="245" w:lineRule="auto"/>
              <w:jc w:val="center"/>
            </w:pPr>
            <w:r>
              <w:rPr>
                <w:b/>
                <w:color w:val="000000"/>
                <w:sz w:val="21"/>
              </w:rPr>
              <w:t>100%</w:t>
            </w:r>
          </w:p>
        </w:tc>
      </w:tr>
    </w:tbl>
    <w:p w14:paraId="0C9A5E35" w14:textId="2B78489B" w:rsidR="006416C2" w:rsidRDefault="002A00FC">
      <w:pPr>
        <w:spacing w:before="140"/>
      </w:pPr>
      <w:r>
        <w:rPr>
          <w:color w:val="000000"/>
          <w:lang w:val="en-GB"/>
        </w:rPr>
        <w:t>The 80-point team quality score is a single combined score; no separate score is assigned to any individual expert. Up to 60 points are awarded for additional relevant legislative-drafting or public-sector regulatory-reform assignments of the five named experts beyond the minimum requirements, at 10 points per distinct qualifying assignment, capped at 60 points. A further 10 points are awarded if the Team Leader holds a PhD in law, and 10 points if at least two of the named experts have  university</w:t>
      </w:r>
      <w:r>
        <w:rPr>
          <w:color w:val="000000"/>
          <w:lang w:val="en-GB"/>
        </w:rPr>
        <w:t xml:space="preserve"> teaching or professional legal-training experience. A qualifying assignment must involve substantive drafting or review of primary or secondary legislation, or legal support for implementation of a public-sector regulatory reform. </w:t>
      </w:r>
    </w:p>
    <w:p w14:paraId="3ADA18BE" w14:textId="721A2E8B" w:rsidR="006416C2" w:rsidRDefault="002A00FC">
      <w:r>
        <w:t>The total score is S = P + Q, where P is the price score and Q is the team quality score. Scores are rounded to two decimal places, and compliant tenders are ranked by descending total score.</w:t>
      </w:r>
    </w:p>
    <w:p w14:paraId="0AF0FC44" w14:textId="77777777" w:rsidR="006416C2" w:rsidRDefault="002A00FC">
      <w:pPr>
        <w:spacing w:before="160" w:after="100"/>
      </w:pPr>
      <w:r>
        <w:t>4 Required Proposal Documents</w:t>
      </w:r>
    </w:p>
    <w:p w14:paraId="5A0A7E57" w14:textId="77777777" w:rsidR="006416C2" w:rsidRDefault="002A00FC">
      <w:r>
        <w:t>Bidders shall submit:</w:t>
      </w:r>
    </w:p>
    <w:p w14:paraId="5F9DADF0" w14:textId="76E2DD8F" w:rsidR="006416C2" w:rsidRDefault="002A00FC">
      <w:pPr>
        <w:pStyle w:val="ListBullet"/>
        <w:spacing w:after="80"/>
      </w:pPr>
      <w:r>
        <w:rPr>
          <w:color w:val="000000"/>
          <w:lang w:val="en-GB"/>
        </w:rPr>
        <w:t xml:space="preserve">a registration extract or equivalent evidence of legal status; </w:t>
      </w:r>
      <w:r w:rsidR="00865019">
        <w:rPr>
          <w:color w:val="000000"/>
          <w:lang w:val="en-GB"/>
        </w:rPr>
        <w:t>proof</w:t>
      </w:r>
      <w:r>
        <w:rPr>
          <w:color w:val="000000"/>
          <w:lang w:val="en-GB"/>
        </w:rPr>
        <w:t xml:space="preserve"> of relevant contracts; and financial statements, audit reports or other permitted evidence for the EUR 100,000 average-turnover requirement;</w:t>
      </w:r>
    </w:p>
    <w:p w14:paraId="3F26C454" w14:textId="1A2C2715" w:rsidR="006416C2" w:rsidRDefault="002A00FC">
      <w:pPr>
        <w:pStyle w:val="ListBullet"/>
        <w:spacing w:after="80"/>
      </w:pPr>
      <w:r>
        <w:rPr>
          <w:color w:val="000000"/>
          <w:lang w:val="en-GB"/>
        </w:rPr>
        <w:t xml:space="preserve">an expert schedule identifying the five named experts and their roles; CVs, </w:t>
      </w:r>
      <w:r w:rsidR="00D156EC">
        <w:rPr>
          <w:color w:val="000000"/>
          <w:lang w:val="en-GB"/>
        </w:rPr>
        <w:t xml:space="preserve"> or alternatively </w:t>
      </w:r>
      <w:r>
        <w:rPr>
          <w:color w:val="000000"/>
          <w:lang w:val="en-GB"/>
        </w:rPr>
        <w:t>degree certificates or equivalent evidence, references, client confirmations, acceptance certificates or other verifiable records supporting the minimum education and experience requirements;</w:t>
      </w:r>
    </w:p>
    <w:p w14:paraId="403539EE" w14:textId="7EE0B954" w:rsidR="006416C2" w:rsidRDefault="002A00FC">
      <w:pPr>
        <w:pStyle w:val="ListBullet"/>
        <w:spacing w:after="80"/>
      </w:pPr>
      <w:r>
        <w:rPr>
          <w:lang w:val="en-GB"/>
        </w:rPr>
        <w:t>employment contracts or employer confirmations showing that each proposed expert is employed by the bidder and has been employed by it for at least six months as at the tender submission deadline;</w:t>
      </w:r>
    </w:p>
    <w:p w14:paraId="54FC3DA5" w14:textId="77777777" w:rsidR="006416C2" w:rsidRDefault="002A00FC">
      <w:pPr>
        <w:pStyle w:val="ListBullet"/>
        <w:spacing w:after="80"/>
      </w:pPr>
      <w:r>
        <w:rPr>
          <w:color w:val="000000"/>
          <w:lang w:val="en-GB"/>
        </w:rPr>
        <w:t>a quality-evidence schedule identifying the additional assignments and qualifications claimed under Section 3, together with the supporting evidence relied upon for each claim; and</w:t>
      </w:r>
    </w:p>
    <w:p w14:paraId="4E2B2397" w14:textId="691C069E" w:rsidR="006416C2" w:rsidRDefault="002A00FC" w:rsidP="00163C88">
      <w:pPr>
        <w:pStyle w:val="ListBullet"/>
        <w:spacing w:after="80"/>
      </w:pPr>
      <w:r>
        <w:rPr>
          <w:rStyle w:val="CommentReference"/>
          <w:sz w:val="22"/>
          <w:szCs w:val="22"/>
          <w:lang w:val="en-GB"/>
        </w:rPr>
        <w:t>a signed financial proposal in EUR, in the format required by the Technical Specification, stating the total price excluding VAT, any applicable VAT or other taxes, and the total amount payable for the services.</w:t>
      </w:r>
    </w:p>
    <w:sectPr w:rsidR="006416C2">
      <w:headerReference w:type="default" r:id="rId8"/>
      <w:footerReference w:type="default" r:id="rId9"/>
      <w:headerReference w:type="first" r:id="rId10"/>
      <w:footerReference w:type="first" r:id="rId11"/>
      <w:pgSz w:w="12240" w:h="15840"/>
      <w:pgMar w:top="1134" w:right="1247" w:bottom="1020" w:left="1247" w:header="454" w:footer="454"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F14BA" w14:textId="77777777" w:rsidR="002A00FC" w:rsidRDefault="002A00FC">
      <w:pPr>
        <w:spacing w:after="0" w:line="240" w:lineRule="auto"/>
      </w:pPr>
      <w:r>
        <w:separator/>
      </w:r>
    </w:p>
  </w:endnote>
  <w:endnote w:type="continuationSeparator" w:id="0">
    <w:p w14:paraId="04FE76E0" w14:textId="77777777" w:rsidR="002A00FC" w:rsidRDefault="002A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Liberation Sans">
    <w:altName w:val="Arial"/>
    <w:charset w:val="00"/>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5A91" w14:textId="77777777" w:rsidR="006416C2" w:rsidRDefault="002A00FC">
    <w:pPr>
      <w:pStyle w:val="Footer"/>
    </w:pPr>
    <w:r>
      <w:rPr>
        <w:color w:val="505050"/>
        <w:sz w:val="18"/>
      </w:rPr>
      <w:t>Vendor Qualification and Evaluation Criteria - Legal Services</w:t>
    </w:r>
  </w:p>
  <w:p w14:paraId="22974A1D" w14:textId="77777777" w:rsidR="006416C2" w:rsidRDefault="002A00FC">
    <w:pPr>
      <w:jc w:val="right"/>
    </w:pPr>
    <w:r>
      <w:rPr>
        <w:sz w:val="16"/>
      </w:rPr>
      <w:t xml:space="preserve">Page </w:t>
    </w:r>
    <w:r>
      <w:rPr>
        <w:sz w:val="16"/>
      </w:rPr>
      <w:fldChar w:fldCharType="begin"/>
    </w:r>
    <w:r>
      <w:rPr>
        <w:sz w:val="16"/>
      </w:rPr>
      <w:instrText xml:space="preserve"> PAGE </w:instrText>
    </w:r>
    <w:r>
      <w:rPr>
        <w:sz w:val="16"/>
      </w:rPr>
      <w:fldChar w:fldCharType="separate"/>
    </w:r>
    <w:r>
      <w:rPr>
        <w:sz w:val="16"/>
      </w:rPr>
      <w:t>6</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A3945" w14:textId="77777777" w:rsidR="006416C2" w:rsidRDefault="002A00FC">
    <w:pPr>
      <w:pStyle w:val="Footer"/>
    </w:pPr>
    <w:r>
      <w:rPr>
        <w:color w:val="505050"/>
        <w:sz w:val="18"/>
      </w:rPr>
      <w:t>Vendor Qualification and Evaluation Criteria - Legal Services</w:t>
    </w:r>
  </w:p>
  <w:p w14:paraId="1F53C5EA" w14:textId="77777777" w:rsidR="006416C2" w:rsidRDefault="002A00FC">
    <w:pPr>
      <w:jc w:val="right"/>
    </w:pPr>
    <w:r>
      <w:rPr>
        <w:sz w:val="16"/>
      </w:rPr>
      <w:t xml:space="preserve">Page </w:t>
    </w:r>
    <w:r>
      <w:rPr>
        <w:sz w:val="16"/>
      </w:rPr>
      <w:fldChar w:fldCharType="begin"/>
    </w:r>
    <w:r>
      <w:rPr>
        <w:sz w:val="16"/>
      </w:rPr>
      <w:instrText xml:space="preserve"> PAGE </w:instrText>
    </w:r>
    <w:r>
      <w:rPr>
        <w:sz w:val="16"/>
      </w:rPr>
      <w:fldChar w:fldCharType="separate"/>
    </w:r>
    <w:r>
      <w:rPr>
        <w:sz w:val="16"/>
      </w:rPr>
      <w:t>6</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6EC04" w14:textId="77777777" w:rsidR="002A00FC" w:rsidRDefault="002A00FC">
      <w:pPr>
        <w:spacing w:after="0" w:line="240" w:lineRule="auto"/>
      </w:pPr>
      <w:r>
        <w:separator/>
      </w:r>
    </w:p>
  </w:footnote>
  <w:footnote w:type="continuationSeparator" w:id="0">
    <w:p w14:paraId="699F51B4" w14:textId="77777777" w:rsidR="002A00FC" w:rsidRDefault="002A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3336F" w14:textId="77777777" w:rsidR="006416C2" w:rsidRDefault="002A00FC">
    <w:pPr>
      <w:pStyle w:val="Header"/>
      <w:jc w:val="center"/>
    </w:pPr>
    <w:r>
      <w:rPr>
        <w:b/>
        <w:color w:val="000000"/>
        <w:sz w:val="16"/>
      </w:rPr>
      <w:t>MIGRATION AND CITIZENSHIP SERVICE OF THE REPUBLIC OF ARMENIA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0448" w14:textId="77777777" w:rsidR="006416C2" w:rsidRDefault="002A00FC">
    <w:pPr>
      <w:pStyle w:val="Header"/>
      <w:jc w:val="center"/>
    </w:pPr>
    <w:r>
      <w:rPr>
        <w:b/>
        <w:color w:val="000000"/>
        <w:sz w:val="16"/>
      </w:rPr>
      <w:t>MIGRATION AND CITIZENSHIP SERVICE OF THE REPUBLIC OF ARMENIA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4AE"/>
    <w:multiLevelType w:val="multilevel"/>
    <w:tmpl w:val="D41000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C417A86"/>
    <w:multiLevelType w:val="multilevel"/>
    <w:tmpl w:val="B71E9372"/>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F5215FD"/>
    <w:multiLevelType w:val="multilevel"/>
    <w:tmpl w:val="7674B38C"/>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F67452C"/>
    <w:multiLevelType w:val="multilevel"/>
    <w:tmpl w:val="F5AA2DFC"/>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2CA2FC3"/>
    <w:multiLevelType w:val="multilevel"/>
    <w:tmpl w:val="FD38D4B6"/>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F6724C8"/>
    <w:multiLevelType w:val="multilevel"/>
    <w:tmpl w:val="739CC894"/>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DBD3E94"/>
    <w:multiLevelType w:val="multilevel"/>
    <w:tmpl w:val="EFCE445E"/>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844636173">
    <w:abstractNumId w:val="1"/>
  </w:num>
  <w:num w:numId="2" w16cid:durableId="1353148128">
    <w:abstractNumId w:val="5"/>
  </w:num>
  <w:num w:numId="3" w16cid:durableId="785857872">
    <w:abstractNumId w:val="3"/>
  </w:num>
  <w:num w:numId="4" w16cid:durableId="2010407860">
    <w:abstractNumId w:val="4"/>
  </w:num>
  <w:num w:numId="5" w16cid:durableId="83381737">
    <w:abstractNumId w:val="2"/>
  </w:num>
  <w:num w:numId="6" w16cid:durableId="884684165">
    <w:abstractNumId w:val="6"/>
  </w:num>
  <w:num w:numId="7" w16cid:durableId="1267689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16C2"/>
    <w:rsid w:val="000336E7"/>
    <w:rsid w:val="00063F0B"/>
    <w:rsid w:val="00072DCA"/>
    <w:rsid w:val="00163C88"/>
    <w:rsid w:val="00177F9E"/>
    <w:rsid w:val="002A00FC"/>
    <w:rsid w:val="00344BE2"/>
    <w:rsid w:val="003E49A3"/>
    <w:rsid w:val="00426299"/>
    <w:rsid w:val="00584096"/>
    <w:rsid w:val="005D39D8"/>
    <w:rsid w:val="006416C2"/>
    <w:rsid w:val="006433AB"/>
    <w:rsid w:val="006D379A"/>
    <w:rsid w:val="0079539F"/>
    <w:rsid w:val="007C63CC"/>
    <w:rsid w:val="00863BBA"/>
    <w:rsid w:val="00865019"/>
    <w:rsid w:val="00AC1DF4"/>
    <w:rsid w:val="00AD04D3"/>
    <w:rsid w:val="00B26264"/>
    <w:rsid w:val="00B3045A"/>
    <w:rsid w:val="00C22206"/>
    <w:rsid w:val="00D156EC"/>
    <w:rsid w:val="00D74503"/>
    <w:rsid w:val="00DB1DF0"/>
    <w:rsid w:val="00E33F6C"/>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5D51B"/>
  <w15:docId w15:val="{F2ADDFC1-EE4C-4F78-9A71-EEE93C13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CommentReference">
    <w:name w:val="annotation reference"/>
    <w:basedOn w:val="DefaultParagraphFont"/>
    <w:uiPriority w:val="99"/>
    <w:semiHidden/>
    <w:unhideWhenUsed/>
    <w:qFormat/>
    <w:rsid w:val="00C65BC4"/>
    <w:rPr>
      <w:sz w:val="16"/>
      <w:szCs w:val="16"/>
    </w:rPr>
  </w:style>
  <w:style w:type="character" w:customStyle="1" w:styleId="CommentTextChar">
    <w:name w:val="Comment Text Char"/>
    <w:basedOn w:val="DefaultParagraphFont"/>
    <w:link w:val="CommentText"/>
    <w:uiPriority w:val="99"/>
    <w:qFormat/>
    <w:rsid w:val="00C65BC4"/>
    <w:rPr>
      <w:rFonts w:ascii="Arial" w:hAnsi="Arial"/>
      <w:sz w:val="20"/>
      <w:szCs w:val="20"/>
    </w:rPr>
  </w:style>
  <w:style w:type="character" w:customStyle="1" w:styleId="CommentSubjectChar">
    <w:name w:val="Comment Subject Char"/>
    <w:basedOn w:val="CommentTextChar"/>
    <w:link w:val="CommentSubject"/>
    <w:uiPriority w:val="99"/>
    <w:semiHidden/>
    <w:qFormat/>
    <w:rsid w:val="00C65BC4"/>
    <w:rPr>
      <w:rFonts w:ascii="Arial" w:hAnsi="Arial"/>
      <w:b/>
      <w:bCs/>
      <w:sz w:val="20"/>
      <w:szCs w:val="20"/>
    </w:rPr>
  </w:style>
  <w:style w:type="character" w:styleId="Hyperlink">
    <w:name w:val="Hyperlink"/>
    <w:basedOn w:val="DefaultParagraphFont"/>
    <w:uiPriority w:val="99"/>
    <w:unhideWhenUsed/>
    <w:rsid w:val="00C65BC4"/>
    <w:rPr>
      <w:color w:val="0000FF" w:themeColor="hyperlink"/>
      <w:u w:val="single"/>
    </w:rPr>
  </w:style>
  <w:style w:type="character" w:styleId="UnresolvedMention">
    <w:name w:val="Unresolved Mention"/>
    <w:basedOn w:val="DefaultParagraphFont"/>
    <w:uiPriority w:val="99"/>
    <w:semiHidden/>
    <w:unhideWhenUsed/>
    <w:qFormat/>
    <w:rsid w:val="00C65BC4"/>
    <w:rPr>
      <w:color w:val="605E5C"/>
      <w:shd w:val="clear" w:color="auto" w:fill="E1DFDD"/>
    </w:rPr>
  </w:style>
  <w:style w:type="paragraph" w:customStyle="1" w:styleId="Heading">
    <w:name w:val="Heading"/>
    <w:basedOn w:val="Normal"/>
    <w:next w:val="BodyText"/>
    <w:qFormat/>
    <w:pPr>
      <w:keepNext/>
      <w:spacing w:before="240"/>
    </w:pPr>
    <w:rPr>
      <w:rFonts w:ascii="Liberation Sans" w:eastAsia="Noto Sans CJK SC" w:hAnsi="Liberation Sans" w:cs="Lohit Devanagari"/>
      <w:sz w:val="28"/>
      <w:szCs w:val="28"/>
    </w:rPr>
  </w:style>
  <w:style w:type="paragraph" w:styleId="BodyText">
    <w:name w:val="Body Text"/>
    <w:basedOn w:val="Normal"/>
    <w:link w:val="BodyTextChar"/>
    <w:uiPriority w:val="99"/>
    <w:unhideWhenUsed/>
    <w:rsid w:val="00AA1D8D"/>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color w:val="000000"/>
      <w:spacing w:val="5"/>
      <w:kern w:val="2"/>
      <w:sz w:val="52"/>
      <w:szCs w:val="52"/>
    </w:rPr>
  </w:style>
  <w:style w:type="paragraph" w:styleId="Subtitle">
    <w:name w:val="Subtitle"/>
    <w:basedOn w:val="Normal"/>
    <w:next w:val="Normal"/>
    <w:link w:val="SubtitleChar"/>
    <w:uiPriority w:val="11"/>
    <w:qFormat/>
    <w:rsid w:val="00FC693F"/>
    <w:pPr>
      <w:keepNext/>
    </w:pPr>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line="480" w:lineRule="auto"/>
    </w:pPr>
  </w:style>
  <w:style w:type="paragraph" w:styleId="BodyText3">
    <w:name w:val="Body Text 3"/>
    <w:basedOn w:val="Normal"/>
    <w:link w:val="BodyText3Char"/>
    <w:uiPriority w:val="99"/>
    <w:unhideWhenUsed/>
    <w:qFormat/>
    <w:rsid w:val="00AA1D8D"/>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semiHidden/>
    <w:unhideWhenUsed/>
    <w:qFormat/>
    <w:rsid w:val="00FC693F"/>
    <w:pPr>
      <w:outlineLvl w:val="9"/>
    </w:pPr>
  </w:style>
  <w:style w:type="paragraph" w:styleId="CommentText">
    <w:name w:val="annotation text"/>
    <w:basedOn w:val="Normal"/>
    <w:link w:val="CommentTextChar"/>
    <w:uiPriority w:val="99"/>
    <w:unhideWhenUsed/>
    <w:rsid w:val="00C65BC4"/>
    <w:pPr>
      <w:spacing w:line="240" w:lineRule="auto"/>
    </w:pPr>
    <w:rPr>
      <w:szCs w:val="20"/>
    </w:rPr>
  </w:style>
  <w:style w:type="paragraph" w:styleId="CommentSubject">
    <w:name w:val="annotation subject"/>
    <w:basedOn w:val="CommentText"/>
    <w:next w:val="CommentText"/>
    <w:link w:val="CommentSubjectChar"/>
    <w:uiPriority w:val="99"/>
    <w:semiHidden/>
    <w:unhideWhenUsed/>
    <w:qFormat/>
    <w:rsid w:val="00C65BC4"/>
    <w:rPr>
      <w:b/>
      <w:bCs/>
    </w:rPr>
  </w:style>
  <w:style w:type="paragraph" w:styleId="Revision">
    <w:name w:val="Revision"/>
    <w:uiPriority w:val="99"/>
    <w:semiHidden/>
    <w:qFormat/>
    <w:rsid w:val="00524B4F"/>
    <w:rPr>
      <w:rFonts w:ascii="Arial" w:hAnsi="Arial"/>
      <w:sz w:val="20"/>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C55BD99-6F6F-42B4-ADC2-6BB34A0E4A7E}"/>
</file>

<file path=customXml/itemProps3.xml><?xml version="1.0" encoding="utf-8"?>
<ds:datastoreItem xmlns:ds="http://schemas.openxmlformats.org/officeDocument/2006/customXml" ds:itemID="{0CBCD779-173A-49BA-8300-3E55DE106A43}"/>
</file>

<file path=customXml/itemProps4.xml><?xml version="1.0" encoding="utf-8"?>
<ds:datastoreItem xmlns:ds="http://schemas.openxmlformats.org/officeDocument/2006/customXml" ds:itemID="{AAD7123D-6D62-4AD0-9C2F-72F46DACA78E}"/>
</file>

<file path=docProps/app.xml><?xml version="1.0" encoding="utf-8"?>
<Properties xmlns="http://schemas.openxmlformats.org/officeDocument/2006/extended-properties" xmlns:vt="http://schemas.openxmlformats.org/officeDocument/2006/docPropsVTypes">
  <Template>Normal</Template>
  <TotalTime>1</TotalTime>
  <Pages>3</Pages>
  <Words>4269</Words>
  <Characters>2434</Characters>
  <Application>Microsoft Office Word</Application>
  <DocSecurity>0</DocSecurity>
  <Lines>20</Lines>
  <Paragraphs>13</Paragraphs>
  <ScaleCrop>false</ScaleCrop>
  <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6_Qualifiaction_and_Evaluation</dc:title>
  <dc:creator>Tadas Kontrimas</dc:creator>
  <cp:lastModifiedBy>Tadas Kontrimas</cp:lastModifiedBy>
  <cp:revision>2</cp:revision>
  <dcterms:created xsi:type="dcterms:W3CDTF">2026-10-08T04:34:00Z</dcterms:created>
  <dcterms:modified xsi:type="dcterms:W3CDTF">2026-10-08T04:34:00Z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2026-09-24T07:49:00Z</dcterms:created>
  <dc:creator>Tadas Kontrimas</dc:creator>
  <dc:description/>
  <dc:language>en-US</dc:language>
  <cp:lastModifiedBy/>
  <dcterms:modified xsi:type="dcterms:W3CDTF">2026-09-29T10:50:20Z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4" name="DmsPermissionsDivisions">
    <vt:lpwstr>5883;#Tarptautinių partnerysčių įsigyjimų ir teisės skyrius|507d85cf-fb12-42c5-bbfc-bde3ef1fc699;#5869;#Rytų partnerysčių skyrius|4b78ffd8-964b-4bd4-b018-8b8d37edd4c2;#3174;#Tarptautinių vystomojo bendradarbiavimo projektų skyrius|6147cdd9-1227-4384-bc5f-05bff22a22b1</vt:lpwstr>
  </property>
  <property fmtid="{D5CDD505-2E9C-101B-9397-08002B2CF9AE}" pid="6" name="TaxCatchAll">
    <vt:lpwstr/>
  </property>
  <property fmtid="{D5CDD505-2E9C-101B-9397-08002B2CF9AE}" pid="7" name="ContentTypeId">
    <vt:lpwstr>0x010100D76F90AF19434866994CD715ED8FEE4200712820E1B0DE314FBCE77D75ADAD206D</vt:lpwstr>
  </property>
  <property fmtid="{D5CDD505-2E9C-101B-9397-08002B2CF9AE}" pid="9" name="DmsPermissionsUsers">
    <vt:lpwstr>795;#Tadas Kontrimas;#1999;#Bronius Palšis;#778;#Ieva Šalaševičienė;#1308;#Gražina Balašaitė</vt:lpwstr>
  </property>
  <property fmtid="{D5CDD505-2E9C-101B-9397-08002B2CF9AE}" pid="10" name="DmsCommChanPerm">
    <vt:lpwstr/>
  </property>
  <property fmtid="{D5CDD505-2E9C-101B-9397-08002B2CF9AE}" pid="11" name="DmsPermissionsConfid">
    <vt:bool>false</vt:bool>
  </property>
  <property fmtid="{D5CDD505-2E9C-101B-9397-08002B2CF9AE}" pid="12" name="DmsDocPrepDocSendRegReal">
    <vt:bool>false</vt:bool>
  </property>
  <property fmtid="{D5CDD505-2E9C-101B-9397-08002B2CF9AE}" pid="13" name="DmsWaitingForSign">
    <vt:bool>true</vt:bool>
  </property>
</Properties>
</file>